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6403" w14:textId="44C18956" w:rsidR="00842D0E" w:rsidRPr="0031355F" w:rsidRDefault="00DA1CDF">
      <w:r w:rsidRPr="0031355F">
        <w:t xml:space="preserve">Analyse </w:t>
      </w:r>
      <w:proofErr w:type="spellStart"/>
      <w:r w:rsidRPr="0031355F">
        <w:t>beleggingsfonden</w:t>
      </w:r>
      <w:proofErr w:type="spellEnd"/>
    </w:p>
    <w:p w14:paraId="5CB63899" w14:textId="77777777" w:rsidR="00DA1CDF" w:rsidRPr="0031355F" w:rsidRDefault="00DA1CDF"/>
    <w:p w14:paraId="63C504BD" w14:textId="77777777" w:rsidR="00DA1CDF" w:rsidRPr="0031355F" w:rsidRDefault="00DA1CDF"/>
    <w:sdt>
      <w:sdtPr>
        <w:rPr>
          <w:rFonts w:asciiTheme="minorHAnsi" w:eastAsiaTheme="minorHAnsi" w:hAnsiTheme="minorHAnsi" w:cstheme="minorBidi"/>
          <w:color w:val="auto"/>
          <w:kern w:val="2"/>
          <w:sz w:val="24"/>
          <w:szCs w:val="24"/>
          <w14:ligatures w14:val="standardContextual"/>
        </w:rPr>
        <w:id w:val="700251254"/>
        <w:docPartObj>
          <w:docPartGallery w:val="Table of Contents"/>
          <w:docPartUnique/>
        </w:docPartObj>
      </w:sdtPr>
      <w:sdtContent>
        <w:p w14:paraId="7911EF37" w14:textId="5637CC7E" w:rsidR="00693593" w:rsidRPr="0031355F" w:rsidRDefault="14292835">
          <w:pPr>
            <w:pStyle w:val="TOCHeading"/>
          </w:pPr>
          <w:r w:rsidRPr="6D5ED2DD">
            <w:t>Inhoud</w:t>
          </w:r>
        </w:p>
        <w:p w14:paraId="6C23841E" w14:textId="24F67DC2" w:rsidR="00EE37EA" w:rsidRDefault="6D5ED2DD" w:rsidP="6D5ED2DD">
          <w:pPr>
            <w:pStyle w:val="TOC1"/>
            <w:tabs>
              <w:tab w:val="right" w:leader="dot" w:pos="9015"/>
            </w:tabs>
            <w:rPr>
              <w:rStyle w:val="Hyperlink"/>
              <w:noProof/>
            </w:rPr>
          </w:pPr>
          <w:r>
            <w:fldChar w:fldCharType="begin"/>
          </w:r>
          <w:r w:rsidR="00693593">
            <w:instrText>TOC \o "1-3" \z \u \h</w:instrText>
          </w:r>
          <w:r>
            <w:fldChar w:fldCharType="separate"/>
          </w:r>
          <w:hyperlink w:anchor="_Toc27486620">
            <w:r w:rsidRPr="6D5ED2DD">
              <w:rPr>
                <w:rStyle w:val="Hyperlink"/>
              </w:rPr>
              <w:t>Analyse Laurens Dijkens</w:t>
            </w:r>
            <w:r w:rsidR="00693593">
              <w:tab/>
            </w:r>
            <w:r w:rsidR="00693593">
              <w:fldChar w:fldCharType="begin"/>
            </w:r>
            <w:r w:rsidR="00693593">
              <w:instrText>PAGEREF _Toc27486620 \h</w:instrText>
            </w:r>
            <w:r w:rsidR="00693593">
              <w:fldChar w:fldCharType="separate"/>
            </w:r>
            <w:r w:rsidRPr="6D5ED2DD">
              <w:rPr>
                <w:rStyle w:val="Hyperlink"/>
              </w:rPr>
              <w:t>2</w:t>
            </w:r>
            <w:r w:rsidR="00693593">
              <w:fldChar w:fldCharType="end"/>
            </w:r>
          </w:hyperlink>
        </w:p>
        <w:p w14:paraId="29905714" w14:textId="4EFA95AC" w:rsidR="00EE37EA" w:rsidRDefault="6D5ED2DD" w:rsidP="6D5ED2DD">
          <w:pPr>
            <w:pStyle w:val="TOC1"/>
            <w:tabs>
              <w:tab w:val="right" w:leader="dot" w:pos="9015"/>
            </w:tabs>
            <w:rPr>
              <w:rStyle w:val="Hyperlink"/>
              <w:noProof/>
            </w:rPr>
          </w:pPr>
          <w:hyperlink w:anchor="_Toc1485940518">
            <w:r w:rsidRPr="6D5ED2DD">
              <w:rPr>
                <w:rStyle w:val="Hyperlink"/>
              </w:rPr>
              <w:t>Analyse vermogensbeheerders:</w:t>
            </w:r>
            <w:r w:rsidR="00EE37EA">
              <w:tab/>
            </w:r>
            <w:r w:rsidR="00EE37EA">
              <w:fldChar w:fldCharType="begin"/>
            </w:r>
            <w:r w:rsidR="00EE37EA">
              <w:instrText>PAGEREF _Toc1485940518 \h</w:instrText>
            </w:r>
            <w:r w:rsidR="00EE37EA">
              <w:fldChar w:fldCharType="separate"/>
            </w:r>
            <w:r w:rsidRPr="6D5ED2DD">
              <w:rPr>
                <w:rStyle w:val="Hyperlink"/>
              </w:rPr>
              <w:t>2</w:t>
            </w:r>
            <w:r w:rsidR="00EE37EA">
              <w:fldChar w:fldCharType="end"/>
            </w:r>
          </w:hyperlink>
        </w:p>
        <w:p w14:paraId="21696E90" w14:textId="7B9A6A67" w:rsidR="00EE37EA" w:rsidRDefault="6D5ED2DD" w:rsidP="6D5ED2DD">
          <w:pPr>
            <w:pStyle w:val="TOC2"/>
            <w:tabs>
              <w:tab w:val="right" w:leader="dot" w:pos="9015"/>
            </w:tabs>
            <w:rPr>
              <w:rStyle w:val="Hyperlink"/>
              <w:noProof/>
            </w:rPr>
          </w:pPr>
          <w:hyperlink w:anchor="_Toc665748061">
            <w:r w:rsidRPr="6D5ED2DD">
              <w:rPr>
                <w:rStyle w:val="Hyperlink"/>
              </w:rPr>
              <w:t>Amundi</w:t>
            </w:r>
            <w:r w:rsidR="00EE37EA">
              <w:tab/>
            </w:r>
            <w:r w:rsidR="00EE37EA">
              <w:fldChar w:fldCharType="begin"/>
            </w:r>
            <w:r w:rsidR="00EE37EA">
              <w:instrText>PAGEREF _Toc665748061 \h</w:instrText>
            </w:r>
            <w:r w:rsidR="00EE37EA">
              <w:fldChar w:fldCharType="separate"/>
            </w:r>
            <w:r w:rsidRPr="6D5ED2DD">
              <w:rPr>
                <w:rStyle w:val="Hyperlink"/>
              </w:rPr>
              <w:t>2</w:t>
            </w:r>
            <w:r w:rsidR="00EE37EA">
              <w:fldChar w:fldCharType="end"/>
            </w:r>
          </w:hyperlink>
        </w:p>
        <w:p w14:paraId="64C34B0C" w14:textId="1AD437D8" w:rsidR="00EE37EA" w:rsidRDefault="6D5ED2DD" w:rsidP="6D5ED2DD">
          <w:pPr>
            <w:pStyle w:val="TOC2"/>
            <w:tabs>
              <w:tab w:val="right" w:leader="dot" w:pos="9015"/>
            </w:tabs>
            <w:rPr>
              <w:rStyle w:val="Hyperlink"/>
              <w:noProof/>
            </w:rPr>
          </w:pPr>
          <w:hyperlink w:anchor="_Toc1289514188">
            <w:r w:rsidRPr="6D5ED2DD">
              <w:rPr>
                <w:rStyle w:val="Hyperlink"/>
              </w:rPr>
              <w:t>ASN Impact Investors</w:t>
            </w:r>
            <w:r w:rsidR="00EE37EA">
              <w:tab/>
            </w:r>
            <w:r w:rsidR="00EE37EA">
              <w:fldChar w:fldCharType="begin"/>
            </w:r>
            <w:r w:rsidR="00EE37EA">
              <w:instrText>PAGEREF _Toc1289514188 \h</w:instrText>
            </w:r>
            <w:r w:rsidR="00EE37EA">
              <w:fldChar w:fldCharType="separate"/>
            </w:r>
            <w:r w:rsidRPr="6D5ED2DD">
              <w:rPr>
                <w:rStyle w:val="Hyperlink"/>
              </w:rPr>
              <w:t>5</w:t>
            </w:r>
            <w:r w:rsidR="00EE37EA">
              <w:fldChar w:fldCharType="end"/>
            </w:r>
          </w:hyperlink>
        </w:p>
        <w:p w14:paraId="3323092A" w14:textId="6A246540" w:rsidR="00EE37EA" w:rsidRDefault="6D5ED2DD" w:rsidP="6D5ED2DD">
          <w:pPr>
            <w:pStyle w:val="TOC2"/>
            <w:tabs>
              <w:tab w:val="right" w:leader="dot" w:pos="9015"/>
            </w:tabs>
            <w:rPr>
              <w:rStyle w:val="Hyperlink"/>
              <w:noProof/>
            </w:rPr>
          </w:pPr>
          <w:hyperlink w:anchor="_Toc2062237459">
            <w:r w:rsidRPr="6D5ED2DD">
              <w:rPr>
                <w:rStyle w:val="Hyperlink"/>
              </w:rPr>
              <w:t>DWS Group</w:t>
            </w:r>
            <w:r w:rsidR="00EE37EA">
              <w:tab/>
            </w:r>
            <w:r w:rsidR="00EE37EA">
              <w:fldChar w:fldCharType="begin"/>
            </w:r>
            <w:r w:rsidR="00EE37EA">
              <w:instrText>PAGEREF _Toc2062237459 \h</w:instrText>
            </w:r>
            <w:r w:rsidR="00EE37EA">
              <w:fldChar w:fldCharType="separate"/>
            </w:r>
            <w:r w:rsidRPr="6D5ED2DD">
              <w:rPr>
                <w:rStyle w:val="Hyperlink"/>
              </w:rPr>
              <w:t>8</w:t>
            </w:r>
            <w:r w:rsidR="00EE37EA">
              <w:fldChar w:fldCharType="end"/>
            </w:r>
          </w:hyperlink>
        </w:p>
        <w:p w14:paraId="6223691F" w14:textId="156CC3F5" w:rsidR="00EE37EA" w:rsidRDefault="6D5ED2DD" w:rsidP="6D5ED2DD">
          <w:pPr>
            <w:pStyle w:val="TOC2"/>
            <w:tabs>
              <w:tab w:val="right" w:leader="dot" w:pos="9015"/>
            </w:tabs>
            <w:rPr>
              <w:rStyle w:val="Hyperlink"/>
              <w:noProof/>
            </w:rPr>
          </w:pPr>
          <w:hyperlink w:anchor="_Toc1958705219">
            <w:r w:rsidRPr="6D5ED2DD">
              <w:rPr>
                <w:rStyle w:val="Hyperlink"/>
              </w:rPr>
              <w:t>Triodos Investment Management</w:t>
            </w:r>
            <w:r w:rsidR="00EE37EA">
              <w:tab/>
            </w:r>
            <w:r w:rsidR="00EE37EA">
              <w:fldChar w:fldCharType="begin"/>
            </w:r>
            <w:r w:rsidR="00EE37EA">
              <w:instrText>PAGEREF _Toc1958705219 \h</w:instrText>
            </w:r>
            <w:r w:rsidR="00EE37EA">
              <w:fldChar w:fldCharType="separate"/>
            </w:r>
            <w:r w:rsidRPr="6D5ED2DD">
              <w:rPr>
                <w:rStyle w:val="Hyperlink"/>
              </w:rPr>
              <w:t>10</w:t>
            </w:r>
            <w:r w:rsidR="00EE37EA">
              <w:fldChar w:fldCharType="end"/>
            </w:r>
          </w:hyperlink>
        </w:p>
        <w:p w14:paraId="0384B470" w14:textId="1E92D180" w:rsidR="00EE37EA" w:rsidRDefault="6D5ED2DD" w:rsidP="6D5ED2DD">
          <w:pPr>
            <w:pStyle w:val="TOC1"/>
            <w:tabs>
              <w:tab w:val="right" w:leader="dot" w:pos="9015"/>
            </w:tabs>
            <w:rPr>
              <w:rStyle w:val="Hyperlink"/>
              <w:noProof/>
            </w:rPr>
          </w:pPr>
          <w:hyperlink w:anchor="_Toc1798350084">
            <w:r w:rsidRPr="6D5ED2DD">
              <w:rPr>
                <w:rStyle w:val="Hyperlink"/>
              </w:rPr>
              <w:t>Onderbouwing wegingen:</w:t>
            </w:r>
            <w:r w:rsidR="00EE37EA">
              <w:tab/>
            </w:r>
            <w:r w:rsidR="00EE37EA">
              <w:fldChar w:fldCharType="begin"/>
            </w:r>
            <w:r w:rsidR="00EE37EA">
              <w:instrText>PAGEREF _Toc1798350084 \h</w:instrText>
            </w:r>
            <w:r w:rsidR="00EE37EA">
              <w:fldChar w:fldCharType="separate"/>
            </w:r>
            <w:r w:rsidRPr="6D5ED2DD">
              <w:rPr>
                <w:rStyle w:val="Hyperlink"/>
              </w:rPr>
              <w:t>12</w:t>
            </w:r>
            <w:r w:rsidR="00EE37EA">
              <w:fldChar w:fldCharType="end"/>
            </w:r>
          </w:hyperlink>
        </w:p>
        <w:p w14:paraId="150AEEED" w14:textId="795A0F47" w:rsidR="00EE37EA" w:rsidRDefault="6D5ED2DD" w:rsidP="6D5ED2DD">
          <w:pPr>
            <w:pStyle w:val="TOC2"/>
            <w:tabs>
              <w:tab w:val="right" w:leader="dot" w:pos="9015"/>
            </w:tabs>
            <w:rPr>
              <w:rStyle w:val="Hyperlink"/>
              <w:noProof/>
            </w:rPr>
          </w:pPr>
          <w:hyperlink w:anchor="_Toc2113298141">
            <w:r w:rsidRPr="6D5ED2DD">
              <w:rPr>
                <w:rStyle w:val="Hyperlink"/>
              </w:rPr>
              <w:t>Gekozen vermogensbeheerder: ASN Impact Investors</w:t>
            </w:r>
            <w:r w:rsidR="00EE37EA">
              <w:tab/>
            </w:r>
            <w:r w:rsidR="00EE37EA">
              <w:fldChar w:fldCharType="begin"/>
            </w:r>
            <w:r w:rsidR="00EE37EA">
              <w:instrText>PAGEREF _Toc2113298141 \h</w:instrText>
            </w:r>
            <w:r w:rsidR="00EE37EA">
              <w:fldChar w:fldCharType="separate"/>
            </w:r>
            <w:r w:rsidRPr="6D5ED2DD">
              <w:rPr>
                <w:rStyle w:val="Hyperlink"/>
              </w:rPr>
              <w:t>13</w:t>
            </w:r>
            <w:r w:rsidR="00EE37EA">
              <w:fldChar w:fldCharType="end"/>
            </w:r>
          </w:hyperlink>
        </w:p>
        <w:p w14:paraId="5F7CC373" w14:textId="6AE8B103" w:rsidR="00EE37EA" w:rsidRDefault="6D5ED2DD" w:rsidP="6D5ED2DD">
          <w:pPr>
            <w:pStyle w:val="TOC1"/>
            <w:tabs>
              <w:tab w:val="right" w:leader="dot" w:pos="9015"/>
            </w:tabs>
            <w:rPr>
              <w:rStyle w:val="Hyperlink"/>
              <w:noProof/>
            </w:rPr>
          </w:pPr>
          <w:hyperlink w:anchor="_Toc1528992137">
            <w:r w:rsidRPr="6D5ED2DD">
              <w:rPr>
                <w:rStyle w:val="Hyperlink"/>
              </w:rPr>
              <w:t>Selectie aandelenfondsen</w:t>
            </w:r>
            <w:r w:rsidR="00EE37EA">
              <w:tab/>
            </w:r>
            <w:r w:rsidR="00EE37EA">
              <w:fldChar w:fldCharType="begin"/>
            </w:r>
            <w:r w:rsidR="00EE37EA">
              <w:instrText>PAGEREF _Toc1528992137 \h</w:instrText>
            </w:r>
            <w:r w:rsidR="00EE37EA">
              <w:fldChar w:fldCharType="separate"/>
            </w:r>
            <w:r w:rsidRPr="6D5ED2DD">
              <w:rPr>
                <w:rStyle w:val="Hyperlink"/>
              </w:rPr>
              <w:t>15</w:t>
            </w:r>
            <w:r w:rsidR="00EE37EA">
              <w:fldChar w:fldCharType="end"/>
            </w:r>
          </w:hyperlink>
        </w:p>
        <w:p w14:paraId="50630C4F" w14:textId="10478971" w:rsidR="00EE37EA" w:rsidRDefault="6D5ED2DD" w:rsidP="6D5ED2DD">
          <w:pPr>
            <w:pStyle w:val="TOC2"/>
            <w:tabs>
              <w:tab w:val="right" w:leader="dot" w:pos="9015"/>
            </w:tabs>
            <w:rPr>
              <w:rStyle w:val="Hyperlink"/>
              <w:noProof/>
            </w:rPr>
          </w:pPr>
          <w:hyperlink w:anchor="_Toc1862443638">
            <w:r w:rsidRPr="6D5ED2DD">
              <w:rPr>
                <w:rStyle w:val="Hyperlink"/>
              </w:rPr>
              <w:t>ASN:</w:t>
            </w:r>
            <w:r w:rsidR="00EE37EA">
              <w:tab/>
            </w:r>
            <w:r w:rsidR="00EE37EA">
              <w:fldChar w:fldCharType="begin"/>
            </w:r>
            <w:r w:rsidR="00EE37EA">
              <w:instrText>PAGEREF _Toc1862443638 \h</w:instrText>
            </w:r>
            <w:r w:rsidR="00EE37EA">
              <w:fldChar w:fldCharType="separate"/>
            </w:r>
            <w:r w:rsidRPr="6D5ED2DD">
              <w:rPr>
                <w:rStyle w:val="Hyperlink"/>
              </w:rPr>
              <w:t>15</w:t>
            </w:r>
            <w:r w:rsidR="00EE37EA">
              <w:fldChar w:fldCharType="end"/>
            </w:r>
          </w:hyperlink>
        </w:p>
        <w:p w14:paraId="02DC245F" w14:textId="2AD9114F" w:rsidR="00EE37EA" w:rsidRDefault="6D5ED2DD" w:rsidP="6D5ED2DD">
          <w:pPr>
            <w:pStyle w:val="TOC2"/>
            <w:tabs>
              <w:tab w:val="right" w:leader="dot" w:pos="9015"/>
            </w:tabs>
            <w:rPr>
              <w:rStyle w:val="Hyperlink"/>
              <w:noProof/>
            </w:rPr>
          </w:pPr>
          <w:hyperlink w:anchor="_Toc1769692876">
            <w:r w:rsidRPr="6D5ED2DD">
              <w:rPr>
                <w:rStyle w:val="Hyperlink"/>
              </w:rPr>
              <w:t>Robeco:</w:t>
            </w:r>
            <w:r w:rsidR="00EE37EA">
              <w:tab/>
            </w:r>
            <w:r w:rsidR="00EE37EA">
              <w:fldChar w:fldCharType="begin"/>
            </w:r>
            <w:r w:rsidR="00EE37EA">
              <w:instrText>PAGEREF _Toc1769692876 \h</w:instrText>
            </w:r>
            <w:r w:rsidR="00EE37EA">
              <w:fldChar w:fldCharType="separate"/>
            </w:r>
            <w:r w:rsidRPr="6D5ED2DD">
              <w:rPr>
                <w:rStyle w:val="Hyperlink"/>
              </w:rPr>
              <w:t>25</w:t>
            </w:r>
            <w:r w:rsidR="00EE37EA">
              <w:fldChar w:fldCharType="end"/>
            </w:r>
          </w:hyperlink>
        </w:p>
        <w:p w14:paraId="526BF2AE" w14:textId="4601C7AC" w:rsidR="00EE37EA" w:rsidRDefault="6D5ED2DD" w:rsidP="6D5ED2DD">
          <w:pPr>
            <w:pStyle w:val="TOC2"/>
            <w:tabs>
              <w:tab w:val="right" w:leader="dot" w:pos="9015"/>
            </w:tabs>
            <w:rPr>
              <w:rStyle w:val="Hyperlink"/>
              <w:noProof/>
            </w:rPr>
          </w:pPr>
          <w:hyperlink w:anchor="_Toc703370465">
            <w:r w:rsidRPr="6D5ED2DD">
              <w:rPr>
                <w:rStyle w:val="Hyperlink"/>
              </w:rPr>
              <w:t>Allianz:</w:t>
            </w:r>
            <w:r w:rsidR="00EE37EA">
              <w:tab/>
            </w:r>
            <w:r w:rsidR="00EE37EA">
              <w:fldChar w:fldCharType="begin"/>
            </w:r>
            <w:r w:rsidR="00EE37EA">
              <w:instrText>PAGEREF _Toc703370465 \h</w:instrText>
            </w:r>
            <w:r w:rsidR="00EE37EA">
              <w:fldChar w:fldCharType="separate"/>
            </w:r>
            <w:r w:rsidRPr="6D5ED2DD">
              <w:rPr>
                <w:rStyle w:val="Hyperlink"/>
              </w:rPr>
              <w:t>33</w:t>
            </w:r>
            <w:r w:rsidR="00EE37EA">
              <w:fldChar w:fldCharType="end"/>
            </w:r>
          </w:hyperlink>
        </w:p>
        <w:p w14:paraId="1249D076" w14:textId="202265E3" w:rsidR="00EE37EA" w:rsidRDefault="6D5ED2DD" w:rsidP="6D5ED2DD">
          <w:pPr>
            <w:pStyle w:val="TOC1"/>
            <w:tabs>
              <w:tab w:val="right" w:leader="dot" w:pos="9015"/>
            </w:tabs>
            <w:rPr>
              <w:rStyle w:val="Hyperlink"/>
              <w:noProof/>
            </w:rPr>
          </w:pPr>
          <w:hyperlink w:anchor="_Toc1331345147">
            <w:r w:rsidRPr="6D5ED2DD">
              <w:rPr>
                <w:rStyle w:val="Hyperlink"/>
              </w:rPr>
              <w:t>Analyse Soraya Vink</w:t>
            </w:r>
            <w:r w:rsidR="00EE37EA">
              <w:tab/>
            </w:r>
            <w:r w:rsidR="00EE37EA">
              <w:fldChar w:fldCharType="begin"/>
            </w:r>
            <w:r w:rsidR="00EE37EA">
              <w:instrText>PAGEREF _Toc1331345147 \h</w:instrText>
            </w:r>
            <w:r w:rsidR="00EE37EA">
              <w:fldChar w:fldCharType="separate"/>
            </w:r>
            <w:r w:rsidRPr="6D5ED2DD">
              <w:rPr>
                <w:rStyle w:val="Hyperlink"/>
              </w:rPr>
              <w:t>40</w:t>
            </w:r>
            <w:r w:rsidR="00EE37EA">
              <w:fldChar w:fldCharType="end"/>
            </w:r>
          </w:hyperlink>
        </w:p>
        <w:p w14:paraId="34CF01C7" w14:textId="65738B29" w:rsidR="00EE37EA" w:rsidRDefault="6D5ED2DD" w:rsidP="6D5ED2DD">
          <w:pPr>
            <w:pStyle w:val="TOC1"/>
            <w:tabs>
              <w:tab w:val="left" w:pos="480"/>
              <w:tab w:val="right" w:leader="dot" w:pos="9015"/>
            </w:tabs>
            <w:rPr>
              <w:rStyle w:val="Hyperlink"/>
              <w:noProof/>
            </w:rPr>
          </w:pPr>
          <w:hyperlink w:anchor="_Toc1044840287">
            <w:r w:rsidRPr="6D5ED2DD">
              <w:rPr>
                <w:rStyle w:val="Hyperlink"/>
              </w:rPr>
              <w:t>1.</w:t>
            </w:r>
            <w:r w:rsidR="00EE37EA">
              <w:tab/>
            </w:r>
            <w:r w:rsidRPr="6D5ED2DD">
              <w:rPr>
                <w:rStyle w:val="Hyperlink"/>
              </w:rPr>
              <w:t>Analyse vermogensbeheerders op duurzaamheid, governance en reputatie</w:t>
            </w:r>
            <w:r w:rsidR="00EE37EA">
              <w:tab/>
            </w:r>
            <w:r w:rsidR="00EE37EA">
              <w:fldChar w:fldCharType="begin"/>
            </w:r>
            <w:r w:rsidR="00EE37EA">
              <w:instrText>PAGEREF _Toc1044840287 \h</w:instrText>
            </w:r>
            <w:r w:rsidR="00EE37EA">
              <w:fldChar w:fldCharType="separate"/>
            </w:r>
            <w:r w:rsidRPr="6D5ED2DD">
              <w:rPr>
                <w:rStyle w:val="Hyperlink"/>
              </w:rPr>
              <w:t>40</w:t>
            </w:r>
            <w:r w:rsidR="00EE37EA">
              <w:fldChar w:fldCharType="end"/>
            </w:r>
          </w:hyperlink>
        </w:p>
        <w:p w14:paraId="04841101" w14:textId="2EA63333" w:rsidR="00EE37EA" w:rsidRDefault="6D5ED2DD" w:rsidP="6D5ED2DD">
          <w:pPr>
            <w:pStyle w:val="TOC2"/>
            <w:tabs>
              <w:tab w:val="left" w:pos="720"/>
              <w:tab w:val="right" w:leader="dot" w:pos="9015"/>
            </w:tabs>
            <w:rPr>
              <w:rStyle w:val="Hyperlink"/>
              <w:noProof/>
            </w:rPr>
          </w:pPr>
          <w:hyperlink w:anchor="_Toc172217351">
            <w:r w:rsidRPr="6D5ED2DD">
              <w:rPr>
                <w:rStyle w:val="Hyperlink"/>
              </w:rPr>
              <w:t>1.5</w:t>
            </w:r>
            <w:r w:rsidR="00EE37EA">
              <w:tab/>
            </w:r>
            <w:r w:rsidRPr="6D5ED2DD">
              <w:rPr>
                <w:rStyle w:val="Hyperlink"/>
              </w:rPr>
              <w:t>Algemene bedrijfsinformatie</w:t>
            </w:r>
            <w:r w:rsidR="00EE37EA">
              <w:tab/>
            </w:r>
            <w:r w:rsidR="00EE37EA">
              <w:fldChar w:fldCharType="begin"/>
            </w:r>
            <w:r w:rsidR="00EE37EA">
              <w:instrText>PAGEREF _Toc172217351 \h</w:instrText>
            </w:r>
            <w:r w:rsidR="00EE37EA">
              <w:fldChar w:fldCharType="separate"/>
            </w:r>
            <w:r w:rsidRPr="6D5ED2DD">
              <w:rPr>
                <w:rStyle w:val="Hyperlink"/>
              </w:rPr>
              <w:t>40</w:t>
            </w:r>
            <w:r w:rsidR="00EE37EA">
              <w:fldChar w:fldCharType="end"/>
            </w:r>
          </w:hyperlink>
        </w:p>
        <w:p w14:paraId="598D0171" w14:textId="651AD304" w:rsidR="00EE37EA" w:rsidRDefault="6D5ED2DD" w:rsidP="6D5ED2DD">
          <w:pPr>
            <w:pStyle w:val="TOC2"/>
            <w:tabs>
              <w:tab w:val="left" w:pos="720"/>
              <w:tab w:val="right" w:leader="dot" w:pos="9015"/>
            </w:tabs>
            <w:rPr>
              <w:rStyle w:val="Hyperlink"/>
              <w:noProof/>
            </w:rPr>
          </w:pPr>
          <w:hyperlink w:anchor="_Toc1880335322">
            <w:r w:rsidRPr="6D5ED2DD">
              <w:rPr>
                <w:rStyle w:val="Hyperlink"/>
              </w:rPr>
              <w:t>2.5</w:t>
            </w:r>
            <w:r w:rsidR="00EE37EA">
              <w:tab/>
            </w:r>
            <w:r w:rsidRPr="6D5ED2DD">
              <w:rPr>
                <w:rStyle w:val="Hyperlink"/>
              </w:rPr>
              <w:t>Analysevragen per thema</w:t>
            </w:r>
            <w:r w:rsidR="00EE37EA">
              <w:tab/>
            </w:r>
            <w:r w:rsidR="00EE37EA">
              <w:fldChar w:fldCharType="begin"/>
            </w:r>
            <w:r w:rsidR="00EE37EA">
              <w:instrText>PAGEREF _Toc1880335322 \h</w:instrText>
            </w:r>
            <w:r w:rsidR="00EE37EA">
              <w:fldChar w:fldCharType="separate"/>
            </w:r>
            <w:r w:rsidRPr="6D5ED2DD">
              <w:rPr>
                <w:rStyle w:val="Hyperlink"/>
              </w:rPr>
              <w:t>40</w:t>
            </w:r>
            <w:r w:rsidR="00EE37EA">
              <w:fldChar w:fldCharType="end"/>
            </w:r>
          </w:hyperlink>
        </w:p>
        <w:p w14:paraId="117D4118" w14:textId="732C9DCD" w:rsidR="00EE37EA" w:rsidRDefault="6D5ED2DD" w:rsidP="6D5ED2DD">
          <w:pPr>
            <w:pStyle w:val="TOC3"/>
            <w:tabs>
              <w:tab w:val="left" w:pos="960"/>
              <w:tab w:val="right" w:leader="dot" w:pos="9015"/>
            </w:tabs>
            <w:rPr>
              <w:rStyle w:val="Hyperlink"/>
              <w:noProof/>
            </w:rPr>
          </w:pPr>
          <w:hyperlink w:anchor="_Toc1640744109">
            <w:r w:rsidRPr="6D5ED2DD">
              <w:rPr>
                <w:rStyle w:val="Hyperlink"/>
              </w:rPr>
              <w:t>1.</w:t>
            </w:r>
            <w:r w:rsidR="00EE37EA">
              <w:tab/>
            </w:r>
            <w:r w:rsidRPr="6D5ED2DD">
              <w:rPr>
                <w:rStyle w:val="Hyperlink"/>
              </w:rPr>
              <w:t>Duurzaamheid/ESG-beleid</w:t>
            </w:r>
            <w:r w:rsidR="00EE37EA">
              <w:tab/>
            </w:r>
            <w:r w:rsidR="00EE37EA">
              <w:fldChar w:fldCharType="begin"/>
            </w:r>
            <w:r w:rsidR="00EE37EA">
              <w:instrText>PAGEREF _Toc1640744109 \h</w:instrText>
            </w:r>
            <w:r w:rsidR="00EE37EA">
              <w:fldChar w:fldCharType="separate"/>
            </w:r>
            <w:r w:rsidRPr="6D5ED2DD">
              <w:rPr>
                <w:rStyle w:val="Hyperlink"/>
              </w:rPr>
              <w:t>41</w:t>
            </w:r>
            <w:r w:rsidR="00EE37EA">
              <w:fldChar w:fldCharType="end"/>
            </w:r>
          </w:hyperlink>
        </w:p>
        <w:p w14:paraId="0D36DE8F" w14:textId="116A97C8" w:rsidR="00EE37EA" w:rsidRDefault="6D5ED2DD" w:rsidP="6D5ED2DD">
          <w:pPr>
            <w:pStyle w:val="TOC3"/>
            <w:tabs>
              <w:tab w:val="left" w:pos="960"/>
              <w:tab w:val="right" w:leader="dot" w:pos="9015"/>
            </w:tabs>
            <w:rPr>
              <w:rStyle w:val="Hyperlink"/>
              <w:noProof/>
            </w:rPr>
          </w:pPr>
          <w:hyperlink w:anchor="_Toc1757282778">
            <w:r w:rsidRPr="6D5ED2DD">
              <w:rPr>
                <w:rStyle w:val="Hyperlink"/>
              </w:rPr>
              <w:t>2.</w:t>
            </w:r>
            <w:r w:rsidR="00EE37EA">
              <w:tab/>
            </w:r>
            <w:r w:rsidRPr="6D5ED2DD">
              <w:rPr>
                <w:rStyle w:val="Hyperlink"/>
              </w:rPr>
              <w:t>Governance (Bestuur en transparantie)</w:t>
            </w:r>
            <w:r w:rsidR="00EE37EA">
              <w:tab/>
            </w:r>
            <w:r w:rsidR="00EE37EA">
              <w:fldChar w:fldCharType="begin"/>
            </w:r>
            <w:r w:rsidR="00EE37EA">
              <w:instrText>PAGEREF _Toc1757282778 \h</w:instrText>
            </w:r>
            <w:r w:rsidR="00EE37EA">
              <w:fldChar w:fldCharType="separate"/>
            </w:r>
            <w:r w:rsidRPr="6D5ED2DD">
              <w:rPr>
                <w:rStyle w:val="Hyperlink"/>
              </w:rPr>
              <w:t>42</w:t>
            </w:r>
            <w:r w:rsidR="00EE37EA">
              <w:fldChar w:fldCharType="end"/>
            </w:r>
          </w:hyperlink>
        </w:p>
        <w:p w14:paraId="0D04C734" w14:textId="6FD73926" w:rsidR="00EE37EA" w:rsidRDefault="6D5ED2DD" w:rsidP="6D5ED2DD">
          <w:pPr>
            <w:pStyle w:val="TOC3"/>
            <w:tabs>
              <w:tab w:val="left" w:pos="960"/>
              <w:tab w:val="right" w:leader="dot" w:pos="9015"/>
            </w:tabs>
            <w:rPr>
              <w:rStyle w:val="Hyperlink"/>
              <w:noProof/>
            </w:rPr>
          </w:pPr>
          <w:hyperlink w:anchor="_Toc1776580100">
            <w:r w:rsidRPr="6D5ED2DD">
              <w:rPr>
                <w:rStyle w:val="Hyperlink"/>
              </w:rPr>
              <w:t>3.</w:t>
            </w:r>
            <w:r w:rsidR="00EE37EA">
              <w:tab/>
            </w:r>
            <w:r w:rsidRPr="6D5ED2DD">
              <w:rPr>
                <w:rStyle w:val="Hyperlink"/>
              </w:rPr>
              <w:t>Bad press/reputatie</w:t>
            </w:r>
            <w:r w:rsidR="00EE37EA">
              <w:tab/>
            </w:r>
            <w:r w:rsidR="00EE37EA">
              <w:fldChar w:fldCharType="begin"/>
            </w:r>
            <w:r w:rsidR="00EE37EA">
              <w:instrText>PAGEREF _Toc1776580100 \h</w:instrText>
            </w:r>
            <w:r w:rsidR="00EE37EA">
              <w:fldChar w:fldCharType="separate"/>
            </w:r>
            <w:r w:rsidRPr="6D5ED2DD">
              <w:rPr>
                <w:rStyle w:val="Hyperlink"/>
              </w:rPr>
              <w:t>43</w:t>
            </w:r>
            <w:r w:rsidR="00EE37EA">
              <w:fldChar w:fldCharType="end"/>
            </w:r>
          </w:hyperlink>
        </w:p>
        <w:p w14:paraId="0B5AD2A9" w14:textId="0C18F542" w:rsidR="00EE37EA" w:rsidRDefault="6D5ED2DD" w:rsidP="6D5ED2DD">
          <w:pPr>
            <w:pStyle w:val="TOC2"/>
            <w:tabs>
              <w:tab w:val="left" w:pos="720"/>
              <w:tab w:val="right" w:leader="dot" w:pos="9015"/>
            </w:tabs>
            <w:rPr>
              <w:rStyle w:val="Hyperlink"/>
              <w:noProof/>
            </w:rPr>
          </w:pPr>
          <w:hyperlink w:anchor="_Toc1163573829">
            <w:r w:rsidRPr="6D5ED2DD">
              <w:rPr>
                <w:rStyle w:val="Hyperlink"/>
              </w:rPr>
              <w:t>3.5</w:t>
            </w:r>
            <w:r w:rsidR="00EE37EA">
              <w:tab/>
            </w:r>
            <w:r w:rsidRPr="6D5ED2DD">
              <w:rPr>
                <w:rStyle w:val="Hyperlink"/>
              </w:rPr>
              <w:t>Concluderend beoordelingsschema</w:t>
            </w:r>
            <w:r w:rsidR="00EE37EA">
              <w:tab/>
            </w:r>
            <w:r w:rsidR="00EE37EA">
              <w:fldChar w:fldCharType="begin"/>
            </w:r>
            <w:r w:rsidR="00EE37EA">
              <w:instrText>PAGEREF _Toc1163573829 \h</w:instrText>
            </w:r>
            <w:r w:rsidR="00EE37EA">
              <w:fldChar w:fldCharType="separate"/>
            </w:r>
            <w:r w:rsidRPr="6D5ED2DD">
              <w:rPr>
                <w:rStyle w:val="Hyperlink"/>
              </w:rPr>
              <w:t>43</w:t>
            </w:r>
            <w:r w:rsidR="00EE37EA">
              <w:fldChar w:fldCharType="end"/>
            </w:r>
          </w:hyperlink>
        </w:p>
        <w:p w14:paraId="36505CC9" w14:textId="78BD6938" w:rsidR="00EE37EA" w:rsidRDefault="6D5ED2DD" w:rsidP="6D5ED2DD">
          <w:pPr>
            <w:pStyle w:val="TOC2"/>
            <w:tabs>
              <w:tab w:val="left" w:pos="720"/>
              <w:tab w:val="right" w:leader="dot" w:pos="9015"/>
            </w:tabs>
            <w:rPr>
              <w:rStyle w:val="Hyperlink"/>
              <w:noProof/>
            </w:rPr>
          </w:pPr>
          <w:hyperlink w:anchor="_Toc1962698007">
            <w:r w:rsidRPr="6D5ED2DD">
              <w:rPr>
                <w:rStyle w:val="Hyperlink"/>
              </w:rPr>
              <w:t>4.5</w:t>
            </w:r>
            <w:r w:rsidR="00EE37EA">
              <w:tab/>
            </w:r>
            <w:r w:rsidRPr="6D5ED2DD">
              <w:rPr>
                <w:rStyle w:val="Hyperlink"/>
              </w:rPr>
              <w:t>Samenvatting</w:t>
            </w:r>
            <w:r w:rsidR="00EE37EA">
              <w:tab/>
            </w:r>
            <w:r w:rsidR="00EE37EA">
              <w:fldChar w:fldCharType="begin"/>
            </w:r>
            <w:r w:rsidR="00EE37EA">
              <w:instrText>PAGEREF _Toc1962698007 \h</w:instrText>
            </w:r>
            <w:r w:rsidR="00EE37EA">
              <w:fldChar w:fldCharType="separate"/>
            </w:r>
            <w:r w:rsidRPr="6D5ED2DD">
              <w:rPr>
                <w:rStyle w:val="Hyperlink"/>
              </w:rPr>
              <w:t>43</w:t>
            </w:r>
            <w:r w:rsidR="00EE37EA">
              <w:fldChar w:fldCharType="end"/>
            </w:r>
          </w:hyperlink>
        </w:p>
        <w:p w14:paraId="4404581F" w14:textId="162221FF" w:rsidR="00EE37EA" w:rsidRDefault="6D5ED2DD" w:rsidP="6D5ED2DD">
          <w:pPr>
            <w:pStyle w:val="TOC2"/>
            <w:tabs>
              <w:tab w:val="left" w:pos="720"/>
              <w:tab w:val="right" w:leader="dot" w:pos="9015"/>
            </w:tabs>
            <w:rPr>
              <w:rStyle w:val="Hyperlink"/>
              <w:noProof/>
            </w:rPr>
          </w:pPr>
          <w:hyperlink w:anchor="_Toc1632483262">
            <w:r w:rsidRPr="6D5ED2DD">
              <w:rPr>
                <w:rStyle w:val="Hyperlink"/>
              </w:rPr>
              <w:t>5.5</w:t>
            </w:r>
            <w:r w:rsidR="00EE37EA">
              <w:tab/>
            </w:r>
            <w:r w:rsidRPr="6D5ED2DD">
              <w:rPr>
                <w:rStyle w:val="Hyperlink"/>
              </w:rPr>
              <w:t>Bronnenlijst (APA 7e editie)</w:t>
            </w:r>
            <w:r w:rsidR="00EE37EA">
              <w:tab/>
            </w:r>
            <w:r w:rsidR="00EE37EA">
              <w:fldChar w:fldCharType="begin"/>
            </w:r>
            <w:r w:rsidR="00EE37EA">
              <w:instrText>PAGEREF _Toc1632483262 \h</w:instrText>
            </w:r>
            <w:r w:rsidR="00EE37EA">
              <w:fldChar w:fldCharType="separate"/>
            </w:r>
            <w:r w:rsidRPr="6D5ED2DD">
              <w:rPr>
                <w:rStyle w:val="Hyperlink"/>
              </w:rPr>
              <w:t>43</w:t>
            </w:r>
            <w:r w:rsidR="00EE37EA">
              <w:fldChar w:fldCharType="end"/>
            </w:r>
          </w:hyperlink>
        </w:p>
        <w:p w14:paraId="75B57393" w14:textId="75AAF320" w:rsidR="00EE37EA" w:rsidRDefault="6D5ED2DD" w:rsidP="6D5ED2DD">
          <w:pPr>
            <w:pStyle w:val="TOC1"/>
            <w:tabs>
              <w:tab w:val="left" w:pos="480"/>
              <w:tab w:val="right" w:leader="dot" w:pos="9015"/>
            </w:tabs>
            <w:rPr>
              <w:rStyle w:val="Hyperlink"/>
              <w:noProof/>
            </w:rPr>
          </w:pPr>
          <w:hyperlink w:anchor="_Toc1415930651">
            <w:r w:rsidRPr="6D5ED2DD">
              <w:rPr>
                <w:rStyle w:val="Hyperlink"/>
              </w:rPr>
              <w:t>2.</w:t>
            </w:r>
            <w:r w:rsidR="00EE37EA">
              <w:tab/>
            </w:r>
            <w:r w:rsidRPr="6D5ED2DD">
              <w:rPr>
                <w:rStyle w:val="Hyperlink"/>
              </w:rPr>
              <w:t>Selectie speciale beleggingsfondsen</w:t>
            </w:r>
            <w:r w:rsidR="00EE37EA">
              <w:tab/>
            </w:r>
            <w:r w:rsidR="00EE37EA">
              <w:fldChar w:fldCharType="begin"/>
            </w:r>
            <w:r w:rsidR="00EE37EA">
              <w:instrText>PAGEREF _Toc1415930651 \h</w:instrText>
            </w:r>
            <w:r w:rsidR="00EE37EA">
              <w:fldChar w:fldCharType="separate"/>
            </w:r>
            <w:r w:rsidRPr="6D5ED2DD">
              <w:rPr>
                <w:rStyle w:val="Hyperlink"/>
              </w:rPr>
              <w:t>44</w:t>
            </w:r>
            <w:r w:rsidR="00EE37EA">
              <w:fldChar w:fldCharType="end"/>
            </w:r>
          </w:hyperlink>
        </w:p>
        <w:p w14:paraId="4D1FD832" w14:textId="794DA290" w:rsidR="00EE37EA" w:rsidRDefault="6D5ED2DD" w:rsidP="6D5ED2DD">
          <w:pPr>
            <w:pStyle w:val="TOC3"/>
            <w:tabs>
              <w:tab w:val="right" w:leader="dot" w:pos="9015"/>
            </w:tabs>
            <w:rPr>
              <w:rStyle w:val="Hyperlink"/>
              <w:noProof/>
            </w:rPr>
          </w:pPr>
          <w:hyperlink w:anchor="_Toc1902232025">
            <w:r w:rsidRPr="6D5ED2DD">
              <w:rPr>
                <w:rStyle w:val="Hyperlink"/>
              </w:rPr>
              <w:t>2.1 Robeco Green Bonds</w:t>
            </w:r>
            <w:r w:rsidR="00EE37EA">
              <w:tab/>
            </w:r>
            <w:r w:rsidR="00EE37EA">
              <w:fldChar w:fldCharType="begin"/>
            </w:r>
            <w:r w:rsidR="00EE37EA">
              <w:instrText>PAGEREF _Toc1902232025 \h</w:instrText>
            </w:r>
            <w:r w:rsidR="00EE37EA">
              <w:fldChar w:fldCharType="separate"/>
            </w:r>
            <w:r w:rsidRPr="6D5ED2DD">
              <w:rPr>
                <w:rStyle w:val="Hyperlink"/>
              </w:rPr>
              <w:t>44</w:t>
            </w:r>
            <w:r w:rsidR="00EE37EA">
              <w:fldChar w:fldCharType="end"/>
            </w:r>
          </w:hyperlink>
        </w:p>
        <w:p w14:paraId="59B5D180" w14:textId="1623A205" w:rsidR="00EE37EA" w:rsidRDefault="6D5ED2DD" w:rsidP="6D5ED2DD">
          <w:pPr>
            <w:pStyle w:val="TOC3"/>
            <w:tabs>
              <w:tab w:val="right" w:leader="dot" w:pos="9015"/>
            </w:tabs>
            <w:rPr>
              <w:rStyle w:val="Hyperlink"/>
              <w:noProof/>
            </w:rPr>
          </w:pPr>
          <w:hyperlink w:anchor="_Toc496567140">
            <w:r w:rsidRPr="6D5ED2DD">
              <w:rPr>
                <w:rStyle w:val="Hyperlink"/>
              </w:rPr>
              <w:t>2.3 Allianz Green Bond</w:t>
            </w:r>
            <w:r w:rsidR="00EE37EA">
              <w:tab/>
            </w:r>
            <w:r w:rsidR="00EE37EA">
              <w:fldChar w:fldCharType="begin"/>
            </w:r>
            <w:r w:rsidR="00EE37EA">
              <w:instrText>PAGEREF _Toc496567140 \h</w:instrText>
            </w:r>
            <w:r w:rsidR="00EE37EA">
              <w:fldChar w:fldCharType="separate"/>
            </w:r>
            <w:r w:rsidRPr="6D5ED2DD">
              <w:rPr>
                <w:rStyle w:val="Hyperlink"/>
              </w:rPr>
              <w:t>46</w:t>
            </w:r>
            <w:r w:rsidR="00EE37EA">
              <w:fldChar w:fldCharType="end"/>
            </w:r>
          </w:hyperlink>
        </w:p>
        <w:p w14:paraId="2F330573" w14:textId="319CF82E" w:rsidR="00EE37EA" w:rsidRDefault="6D5ED2DD" w:rsidP="6D5ED2DD">
          <w:pPr>
            <w:pStyle w:val="TOC3"/>
            <w:tabs>
              <w:tab w:val="right" w:leader="dot" w:pos="9015"/>
            </w:tabs>
            <w:rPr>
              <w:rStyle w:val="Hyperlink"/>
              <w:noProof/>
            </w:rPr>
          </w:pPr>
          <w:hyperlink w:anchor="_Toc1378591304">
            <w:r w:rsidRPr="6D5ED2DD">
              <w:rPr>
                <w:rStyle w:val="Hyperlink"/>
              </w:rPr>
              <w:t>2.4 Allianz Climate Transition</w:t>
            </w:r>
            <w:r w:rsidR="00EE37EA">
              <w:tab/>
            </w:r>
            <w:r w:rsidR="00EE37EA">
              <w:fldChar w:fldCharType="begin"/>
            </w:r>
            <w:r w:rsidR="00EE37EA">
              <w:instrText>PAGEREF _Toc1378591304 \h</w:instrText>
            </w:r>
            <w:r w:rsidR="00EE37EA">
              <w:fldChar w:fldCharType="separate"/>
            </w:r>
            <w:r w:rsidRPr="6D5ED2DD">
              <w:rPr>
                <w:rStyle w:val="Hyperlink"/>
              </w:rPr>
              <w:t>47</w:t>
            </w:r>
            <w:r w:rsidR="00EE37EA">
              <w:fldChar w:fldCharType="end"/>
            </w:r>
          </w:hyperlink>
        </w:p>
        <w:p w14:paraId="5364E079" w14:textId="75296F13" w:rsidR="00EE37EA" w:rsidRDefault="6D5ED2DD" w:rsidP="6D5ED2DD">
          <w:pPr>
            <w:pStyle w:val="TOC2"/>
            <w:tabs>
              <w:tab w:val="right" w:leader="dot" w:pos="9015"/>
            </w:tabs>
            <w:rPr>
              <w:rStyle w:val="Hyperlink"/>
              <w:noProof/>
            </w:rPr>
          </w:pPr>
          <w:hyperlink w:anchor="_Toc1640601366">
            <w:r w:rsidRPr="6D5ED2DD">
              <w:rPr>
                <w:rStyle w:val="Hyperlink"/>
              </w:rPr>
              <w:t>2.5 Historisch risico en rendementsverhouding</w:t>
            </w:r>
            <w:r w:rsidR="00EE37EA">
              <w:tab/>
            </w:r>
            <w:r w:rsidR="00EE37EA">
              <w:fldChar w:fldCharType="begin"/>
            </w:r>
            <w:r w:rsidR="00EE37EA">
              <w:instrText>PAGEREF _Toc1640601366 \h</w:instrText>
            </w:r>
            <w:r w:rsidR="00EE37EA">
              <w:fldChar w:fldCharType="separate"/>
            </w:r>
            <w:r w:rsidRPr="6D5ED2DD">
              <w:rPr>
                <w:rStyle w:val="Hyperlink"/>
              </w:rPr>
              <w:t>48</w:t>
            </w:r>
            <w:r w:rsidR="00EE37EA">
              <w:fldChar w:fldCharType="end"/>
            </w:r>
          </w:hyperlink>
        </w:p>
        <w:p w14:paraId="600457AC" w14:textId="45614E54" w:rsidR="00EE37EA" w:rsidRDefault="6D5ED2DD" w:rsidP="6D5ED2DD">
          <w:pPr>
            <w:pStyle w:val="TOC2"/>
            <w:tabs>
              <w:tab w:val="right" w:leader="dot" w:pos="9015"/>
            </w:tabs>
            <w:rPr>
              <w:rStyle w:val="Hyperlink"/>
              <w:noProof/>
            </w:rPr>
          </w:pPr>
          <w:hyperlink w:anchor="_Toc567878121">
            <w:r w:rsidRPr="6D5ED2DD">
              <w:rPr>
                <w:rStyle w:val="Hyperlink"/>
              </w:rPr>
              <w:t>2.6 Kosten</w:t>
            </w:r>
            <w:r w:rsidR="00EE37EA">
              <w:tab/>
            </w:r>
            <w:r w:rsidR="00EE37EA">
              <w:fldChar w:fldCharType="begin"/>
            </w:r>
            <w:r w:rsidR="00EE37EA">
              <w:instrText>PAGEREF _Toc567878121 \h</w:instrText>
            </w:r>
            <w:r w:rsidR="00EE37EA">
              <w:fldChar w:fldCharType="separate"/>
            </w:r>
            <w:r w:rsidRPr="6D5ED2DD">
              <w:rPr>
                <w:rStyle w:val="Hyperlink"/>
              </w:rPr>
              <w:t>48</w:t>
            </w:r>
            <w:r w:rsidR="00EE37EA">
              <w:fldChar w:fldCharType="end"/>
            </w:r>
          </w:hyperlink>
        </w:p>
        <w:p w14:paraId="21A459E5" w14:textId="450CC6DC" w:rsidR="00EE37EA" w:rsidRDefault="6D5ED2DD" w:rsidP="6D5ED2DD">
          <w:pPr>
            <w:pStyle w:val="TOC2"/>
            <w:tabs>
              <w:tab w:val="right" w:leader="dot" w:pos="9015"/>
            </w:tabs>
            <w:rPr>
              <w:rStyle w:val="Hyperlink"/>
              <w:noProof/>
            </w:rPr>
          </w:pPr>
          <w:hyperlink w:anchor="_Toc1726299329">
            <w:r w:rsidRPr="6D5ED2DD">
              <w:rPr>
                <w:rStyle w:val="Hyperlink"/>
              </w:rPr>
              <w:t>2.7 Duurzaamheidscriteria</w:t>
            </w:r>
            <w:r w:rsidR="00EE37EA">
              <w:tab/>
            </w:r>
            <w:r w:rsidR="00EE37EA">
              <w:fldChar w:fldCharType="begin"/>
            </w:r>
            <w:r w:rsidR="00EE37EA">
              <w:instrText>PAGEREF _Toc1726299329 \h</w:instrText>
            </w:r>
            <w:r w:rsidR="00EE37EA">
              <w:fldChar w:fldCharType="separate"/>
            </w:r>
            <w:r w:rsidRPr="6D5ED2DD">
              <w:rPr>
                <w:rStyle w:val="Hyperlink"/>
              </w:rPr>
              <w:t>49</w:t>
            </w:r>
            <w:r w:rsidR="00EE37EA">
              <w:fldChar w:fldCharType="end"/>
            </w:r>
          </w:hyperlink>
        </w:p>
        <w:p w14:paraId="39197C0F" w14:textId="6CC7024B" w:rsidR="00EE37EA" w:rsidRDefault="6D5ED2DD" w:rsidP="6D5ED2DD">
          <w:pPr>
            <w:pStyle w:val="TOC2"/>
            <w:tabs>
              <w:tab w:val="right" w:leader="dot" w:pos="9015"/>
            </w:tabs>
            <w:rPr>
              <w:rStyle w:val="Hyperlink"/>
              <w:noProof/>
            </w:rPr>
          </w:pPr>
          <w:hyperlink w:anchor="_Toc1795396617">
            <w:r w:rsidRPr="6D5ED2DD">
              <w:rPr>
                <w:rStyle w:val="Hyperlink"/>
              </w:rPr>
              <w:t>2.8 Beoordelingsschema</w:t>
            </w:r>
            <w:r w:rsidR="00EE37EA">
              <w:tab/>
            </w:r>
            <w:r w:rsidR="00EE37EA">
              <w:fldChar w:fldCharType="begin"/>
            </w:r>
            <w:r w:rsidR="00EE37EA">
              <w:instrText>PAGEREF _Toc1795396617 \h</w:instrText>
            </w:r>
            <w:r w:rsidR="00EE37EA">
              <w:fldChar w:fldCharType="separate"/>
            </w:r>
            <w:r w:rsidRPr="6D5ED2DD">
              <w:rPr>
                <w:rStyle w:val="Hyperlink"/>
              </w:rPr>
              <w:t>52</w:t>
            </w:r>
            <w:r w:rsidR="00EE37EA">
              <w:fldChar w:fldCharType="end"/>
            </w:r>
          </w:hyperlink>
        </w:p>
        <w:p w14:paraId="21B92B6F" w14:textId="458F4D82" w:rsidR="00EE37EA" w:rsidRDefault="6D5ED2DD" w:rsidP="6D5ED2DD">
          <w:pPr>
            <w:pStyle w:val="TOC2"/>
            <w:tabs>
              <w:tab w:val="right" w:leader="dot" w:pos="9015"/>
            </w:tabs>
            <w:rPr>
              <w:rStyle w:val="Hyperlink"/>
              <w:noProof/>
            </w:rPr>
          </w:pPr>
          <w:hyperlink w:anchor="_Toc392762975">
            <w:r w:rsidRPr="6D5ED2DD">
              <w:rPr>
                <w:rStyle w:val="Hyperlink"/>
              </w:rPr>
              <w:t>2.9 Klimaatrisico’s</w:t>
            </w:r>
            <w:r w:rsidR="00EE37EA">
              <w:tab/>
            </w:r>
            <w:r w:rsidR="00EE37EA">
              <w:fldChar w:fldCharType="begin"/>
            </w:r>
            <w:r w:rsidR="00EE37EA">
              <w:instrText>PAGEREF _Toc392762975 \h</w:instrText>
            </w:r>
            <w:r w:rsidR="00EE37EA">
              <w:fldChar w:fldCharType="separate"/>
            </w:r>
            <w:r w:rsidRPr="6D5ED2DD">
              <w:rPr>
                <w:rStyle w:val="Hyperlink"/>
              </w:rPr>
              <w:t>52</w:t>
            </w:r>
            <w:r w:rsidR="00EE37EA">
              <w:fldChar w:fldCharType="end"/>
            </w:r>
          </w:hyperlink>
        </w:p>
        <w:p w14:paraId="57C40EF3" w14:textId="6185B947" w:rsidR="00EE37EA" w:rsidRDefault="6D5ED2DD" w:rsidP="6D5ED2DD">
          <w:pPr>
            <w:pStyle w:val="TOC2"/>
            <w:tabs>
              <w:tab w:val="right" w:leader="dot" w:pos="9015"/>
            </w:tabs>
            <w:rPr>
              <w:rStyle w:val="Hyperlink"/>
              <w:noProof/>
            </w:rPr>
          </w:pPr>
          <w:hyperlink w:anchor="_Toc869678545">
            <w:r w:rsidRPr="6D5ED2DD">
              <w:rPr>
                <w:rStyle w:val="Hyperlink"/>
              </w:rPr>
              <w:t>2.10 Klantcommunicatie</w:t>
            </w:r>
            <w:r w:rsidR="00EE37EA">
              <w:tab/>
            </w:r>
            <w:r w:rsidR="00EE37EA">
              <w:fldChar w:fldCharType="begin"/>
            </w:r>
            <w:r w:rsidR="00EE37EA">
              <w:instrText>PAGEREF _Toc869678545 \h</w:instrText>
            </w:r>
            <w:r w:rsidR="00EE37EA">
              <w:fldChar w:fldCharType="separate"/>
            </w:r>
            <w:r w:rsidRPr="6D5ED2DD">
              <w:rPr>
                <w:rStyle w:val="Hyperlink"/>
              </w:rPr>
              <w:t>53</w:t>
            </w:r>
            <w:r w:rsidR="00EE37EA">
              <w:fldChar w:fldCharType="end"/>
            </w:r>
          </w:hyperlink>
        </w:p>
        <w:p w14:paraId="177E6103" w14:textId="4FCB372D" w:rsidR="00EE37EA" w:rsidRDefault="6D5ED2DD" w:rsidP="6D5ED2DD">
          <w:pPr>
            <w:pStyle w:val="TOC2"/>
            <w:tabs>
              <w:tab w:val="right" w:leader="dot" w:pos="9015"/>
            </w:tabs>
            <w:rPr>
              <w:rStyle w:val="Hyperlink"/>
              <w:noProof/>
            </w:rPr>
          </w:pPr>
          <w:hyperlink w:anchor="_Toc931019285">
            <w:r w:rsidRPr="6D5ED2DD">
              <w:rPr>
                <w:rStyle w:val="Hyperlink"/>
              </w:rPr>
              <w:t>2.11 Conclusie</w:t>
            </w:r>
            <w:r w:rsidR="00EE37EA">
              <w:tab/>
            </w:r>
            <w:r w:rsidR="00EE37EA">
              <w:fldChar w:fldCharType="begin"/>
            </w:r>
            <w:r w:rsidR="00EE37EA">
              <w:instrText>PAGEREF _Toc931019285 \h</w:instrText>
            </w:r>
            <w:r w:rsidR="00EE37EA">
              <w:fldChar w:fldCharType="separate"/>
            </w:r>
            <w:r w:rsidRPr="6D5ED2DD">
              <w:rPr>
                <w:rStyle w:val="Hyperlink"/>
              </w:rPr>
              <w:t>53</w:t>
            </w:r>
            <w:r w:rsidR="00EE37EA">
              <w:fldChar w:fldCharType="end"/>
            </w:r>
          </w:hyperlink>
        </w:p>
        <w:p w14:paraId="665C76AC" w14:textId="5B03F3EE" w:rsidR="00EE37EA" w:rsidRDefault="6D5ED2DD" w:rsidP="6D5ED2DD">
          <w:pPr>
            <w:pStyle w:val="TOC1"/>
            <w:tabs>
              <w:tab w:val="right" w:leader="dot" w:pos="9015"/>
            </w:tabs>
            <w:rPr>
              <w:rStyle w:val="Hyperlink"/>
              <w:noProof/>
            </w:rPr>
          </w:pPr>
          <w:hyperlink w:anchor="_Toc1110666890">
            <w:r w:rsidRPr="6D5ED2DD">
              <w:rPr>
                <w:rStyle w:val="Hyperlink"/>
              </w:rPr>
              <w:t>Criteria</w:t>
            </w:r>
            <w:r w:rsidR="00EE37EA">
              <w:tab/>
            </w:r>
            <w:r w:rsidR="00EE37EA">
              <w:fldChar w:fldCharType="begin"/>
            </w:r>
            <w:r w:rsidR="00EE37EA">
              <w:instrText>PAGEREF _Toc1110666890 \h</w:instrText>
            </w:r>
            <w:r w:rsidR="00EE37EA">
              <w:fldChar w:fldCharType="separate"/>
            </w:r>
            <w:r w:rsidRPr="6D5ED2DD">
              <w:rPr>
                <w:rStyle w:val="Hyperlink"/>
              </w:rPr>
              <w:t>54</w:t>
            </w:r>
            <w:r w:rsidR="00EE37EA">
              <w:fldChar w:fldCharType="end"/>
            </w:r>
          </w:hyperlink>
        </w:p>
        <w:p w14:paraId="5CCB0D51" w14:textId="3AB2C7C6" w:rsidR="6D5ED2DD" w:rsidRDefault="6D5ED2DD" w:rsidP="6D5ED2DD">
          <w:pPr>
            <w:pStyle w:val="TOC1"/>
            <w:tabs>
              <w:tab w:val="right" w:leader="dot" w:pos="9015"/>
            </w:tabs>
            <w:rPr>
              <w:rStyle w:val="Hyperlink"/>
            </w:rPr>
          </w:pPr>
          <w:hyperlink w:anchor="_Toc1630859798">
            <w:r w:rsidRPr="6D5ED2DD">
              <w:rPr>
                <w:rStyle w:val="Hyperlink"/>
              </w:rPr>
              <w:t>Analyse Vermogensbeheerders op Duurzaamheid, Governance en Reputatie</w:t>
            </w:r>
            <w:r>
              <w:tab/>
            </w:r>
            <w:r>
              <w:fldChar w:fldCharType="begin"/>
            </w:r>
            <w:r>
              <w:instrText>PAGEREF _Toc1630859798 \h</w:instrText>
            </w:r>
            <w:r>
              <w:fldChar w:fldCharType="separate"/>
            </w:r>
            <w:r w:rsidRPr="6D5ED2DD">
              <w:rPr>
                <w:rStyle w:val="Hyperlink"/>
              </w:rPr>
              <w:t>54</w:t>
            </w:r>
            <w:r>
              <w:fldChar w:fldCharType="end"/>
            </w:r>
          </w:hyperlink>
        </w:p>
        <w:p w14:paraId="74248D84" w14:textId="5AA75FCB" w:rsidR="6D5ED2DD" w:rsidRDefault="6D5ED2DD" w:rsidP="6D5ED2DD">
          <w:pPr>
            <w:pStyle w:val="TOC2"/>
            <w:tabs>
              <w:tab w:val="right" w:leader="dot" w:pos="9015"/>
            </w:tabs>
            <w:rPr>
              <w:rStyle w:val="Hyperlink"/>
            </w:rPr>
          </w:pPr>
          <w:hyperlink w:anchor="_Toc1571018983">
            <w:r w:rsidRPr="6D5ED2DD">
              <w:rPr>
                <w:rStyle w:val="Hyperlink"/>
              </w:rPr>
              <w:t>1. Algemene bedrijfsinformatie</w:t>
            </w:r>
            <w:r>
              <w:tab/>
            </w:r>
            <w:r>
              <w:fldChar w:fldCharType="begin"/>
            </w:r>
            <w:r>
              <w:instrText>PAGEREF _Toc1571018983 \h</w:instrText>
            </w:r>
            <w:r>
              <w:fldChar w:fldCharType="separate"/>
            </w:r>
            <w:r w:rsidRPr="6D5ED2DD">
              <w:rPr>
                <w:rStyle w:val="Hyperlink"/>
              </w:rPr>
              <w:t>54</w:t>
            </w:r>
            <w:r>
              <w:fldChar w:fldCharType="end"/>
            </w:r>
          </w:hyperlink>
        </w:p>
        <w:p w14:paraId="52FD99FE" w14:textId="3F64C3BA" w:rsidR="6D5ED2DD" w:rsidRDefault="6D5ED2DD" w:rsidP="6D5ED2DD">
          <w:pPr>
            <w:pStyle w:val="TOC2"/>
            <w:tabs>
              <w:tab w:val="right" w:leader="dot" w:pos="9015"/>
            </w:tabs>
            <w:rPr>
              <w:rStyle w:val="Hyperlink"/>
            </w:rPr>
          </w:pPr>
          <w:hyperlink w:anchor="_Toc1930431705">
            <w:r w:rsidRPr="6D5ED2DD">
              <w:rPr>
                <w:rStyle w:val="Hyperlink"/>
              </w:rPr>
              <w:t>2. Analysevragen per thema</w:t>
            </w:r>
            <w:r>
              <w:tab/>
            </w:r>
            <w:r>
              <w:fldChar w:fldCharType="begin"/>
            </w:r>
            <w:r>
              <w:instrText>PAGEREF _Toc1930431705 \h</w:instrText>
            </w:r>
            <w:r>
              <w:fldChar w:fldCharType="separate"/>
            </w:r>
            <w:r w:rsidRPr="6D5ED2DD">
              <w:rPr>
                <w:rStyle w:val="Hyperlink"/>
              </w:rPr>
              <w:t>54</w:t>
            </w:r>
            <w:r>
              <w:fldChar w:fldCharType="end"/>
            </w:r>
          </w:hyperlink>
        </w:p>
        <w:p w14:paraId="2D418C08" w14:textId="1C575EE2" w:rsidR="6D5ED2DD" w:rsidRDefault="6D5ED2DD" w:rsidP="6D5ED2DD">
          <w:pPr>
            <w:pStyle w:val="TOC3"/>
            <w:tabs>
              <w:tab w:val="right" w:leader="dot" w:pos="9015"/>
            </w:tabs>
            <w:rPr>
              <w:rStyle w:val="Hyperlink"/>
            </w:rPr>
          </w:pPr>
          <w:hyperlink w:anchor="_Toc2064162588">
            <w:r w:rsidRPr="6D5ED2DD">
              <w:rPr>
                <w:rStyle w:val="Hyperlink"/>
              </w:rPr>
              <w:t>A. Duurzaamheid / ESG-beleid</w:t>
            </w:r>
            <w:r>
              <w:tab/>
            </w:r>
            <w:r>
              <w:fldChar w:fldCharType="begin"/>
            </w:r>
            <w:r>
              <w:instrText>PAGEREF _Toc2064162588 \h</w:instrText>
            </w:r>
            <w:r>
              <w:fldChar w:fldCharType="separate"/>
            </w:r>
            <w:r w:rsidRPr="6D5ED2DD">
              <w:rPr>
                <w:rStyle w:val="Hyperlink"/>
              </w:rPr>
              <w:t>54</w:t>
            </w:r>
            <w:r>
              <w:fldChar w:fldCharType="end"/>
            </w:r>
          </w:hyperlink>
        </w:p>
        <w:p w14:paraId="76D414D0" w14:textId="379BB62D" w:rsidR="6D5ED2DD" w:rsidRDefault="6D5ED2DD" w:rsidP="6D5ED2DD">
          <w:pPr>
            <w:pStyle w:val="TOC3"/>
            <w:tabs>
              <w:tab w:val="right" w:leader="dot" w:pos="9015"/>
            </w:tabs>
            <w:rPr>
              <w:rStyle w:val="Hyperlink"/>
            </w:rPr>
          </w:pPr>
          <w:hyperlink w:anchor="_Toc175194676">
            <w:r w:rsidRPr="6D5ED2DD">
              <w:rPr>
                <w:rStyle w:val="Hyperlink"/>
              </w:rPr>
              <w:t>B. Governance (bestuur en transparantie)</w:t>
            </w:r>
            <w:r>
              <w:tab/>
            </w:r>
            <w:r>
              <w:fldChar w:fldCharType="begin"/>
            </w:r>
            <w:r>
              <w:instrText>PAGEREF _Toc175194676 \h</w:instrText>
            </w:r>
            <w:r>
              <w:fldChar w:fldCharType="separate"/>
            </w:r>
            <w:r w:rsidRPr="6D5ED2DD">
              <w:rPr>
                <w:rStyle w:val="Hyperlink"/>
              </w:rPr>
              <w:t>54</w:t>
            </w:r>
            <w:r>
              <w:fldChar w:fldCharType="end"/>
            </w:r>
          </w:hyperlink>
        </w:p>
        <w:p w14:paraId="655D140F" w14:textId="39E18D55" w:rsidR="6D5ED2DD" w:rsidRDefault="6D5ED2DD" w:rsidP="6D5ED2DD">
          <w:pPr>
            <w:pStyle w:val="TOC3"/>
            <w:tabs>
              <w:tab w:val="right" w:leader="dot" w:pos="9015"/>
            </w:tabs>
            <w:rPr>
              <w:rStyle w:val="Hyperlink"/>
            </w:rPr>
          </w:pPr>
          <w:hyperlink w:anchor="_Toc1438076380">
            <w:r w:rsidRPr="6D5ED2DD">
              <w:rPr>
                <w:rStyle w:val="Hyperlink"/>
              </w:rPr>
              <w:t>C. Bad Press / Reputatie</w:t>
            </w:r>
            <w:r>
              <w:tab/>
            </w:r>
            <w:r>
              <w:fldChar w:fldCharType="begin"/>
            </w:r>
            <w:r>
              <w:instrText>PAGEREF _Toc1438076380 \h</w:instrText>
            </w:r>
            <w:r>
              <w:fldChar w:fldCharType="separate"/>
            </w:r>
            <w:r w:rsidRPr="6D5ED2DD">
              <w:rPr>
                <w:rStyle w:val="Hyperlink"/>
              </w:rPr>
              <w:t>54</w:t>
            </w:r>
            <w:r>
              <w:fldChar w:fldCharType="end"/>
            </w:r>
          </w:hyperlink>
        </w:p>
        <w:p w14:paraId="268A3E04" w14:textId="5EF28D10" w:rsidR="6D5ED2DD" w:rsidRDefault="6D5ED2DD" w:rsidP="6D5ED2DD">
          <w:pPr>
            <w:pStyle w:val="TOC2"/>
            <w:tabs>
              <w:tab w:val="right" w:leader="dot" w:pos="9015"/>
            </w:tabs>
            <w:rPr>
              <w:rStyle w:val="Hyperlink"/>
            </w:rPr>
          </w:pPr>
          <w:hyperlink w:anchor="_Toc1603880801">
            <w:r w:rsidRPr="6D5ED2DD">
              <w:rPr>
                <w:rStyle w:val="Hyperlink"/>
              </w:rPr>
              <w:t>3. Concluderend beoordelingsschema</w:t>
            </w:r>
            <w:r>
              <w:tab/>
            </w:r>
            <w:r>
              <w:fldChar w:fldCharType="begin"/>
            </w:r>
            <w:r>
              <w:instrText>PAGEREF _Toc1603880801 \h</w:instrText>
            </w:r>
            <w:r>
              <w:fldChar w:fldCharType="separate"/>
            </w:r>
            <w:r w:rsidRPr="6D5ED2DD">
              <w:rPr>
                <w:rStyle w:val="Hyperlink"/>
              </w:rPr>
              <w:t>54</w:t>
            </w:r>
            <w:r>
              <w:fldChar w:fldCharType="end"/>
            </w:r>
          </w:hyperlink>
        </w:p>
        <w:p w14:paraId="387C1FF7" w14:textId="3F506CD4" w:rsidR="6D5ED2DD" w:rsidRDefault="6D5ED2DD" w:rsidP="6D5ED2DD">
          <w:pPr>
            <w:pStyle w:val="TOC2"/>
            <w:tabs>
              <w:tab w:val="right" w:leader="dot" w:pos="9015"/>
            </w:tabs>
            <w:rPr>
              <w:rStyle w:val="Hyperlink"/>
            </w:rPr>
          </w:pPr>
          <w:hyperlink w:anchor="_Toc26997841">
            <w:r w:rsidRPr="6D5ED2DD">
              <w:rPr>
                <w:rStyle w:val="Hyperlink"/>
              </w:rPr>
              <w:t>4. Conclusie</w:t>
            </w:r>
            <w:r>
              <w:tab/>
            </w:r>
            <w:r>
              <w:fldChar w:fldCharType="begin"/>
            </w:r>
            <w:r>
              <w:instrText>PAGEREF _Toc26997841 \h</w:instrText>
            </w:r>
            <w:r>
              <w:fldChar w:fldCharType="separate"/>
            </w:r>
            <w:r w:rsidRPr="6D5ED2DD">
              <w:rPr>
                <w:rStyle w:val="Hyperlink"/>
              </w:rPr>
              <w:t>54</w:t>
            </w:r>
            <w:r>
              <w:fldChar w:fldCharType="end"/>
            </w:r>
          </w:hyperlink>
        </w:p>
        <w:p w14:paraId="101D3907" w14:textId="0DDF309C" w:rsidR="6D5ED2DD" w:rsidRDefault="6D5ED2DD" w:rsidP="6D5ED2DD">
          <w:pPr>
            <w:pStyle w:val="TOC2"/>
            <w:tabs>
              <w:tab w:val="right" w:leader="dot" w:pos="9015"/>
            </w:tabs>
            <w:rPr>
              <w:rStyle w:val="Hyperlink"/>
            </w:rPr>
          </w:pPr>
          <w:hyperlink w:anchor="_Toc84727359">
            <w:r w:rsidRPr="6D5ED2DD">
              <w:rPr>
                <w:rStyle w:val="Hyperlink"/>
              </w:rPr>
              <w:t>5. Bronnenlijst (APA 7e editie)</w:t>
            </w:r>
            <w:r>
              <w:tab/>
            </w:r>
            <w:r>
              <w:fldChar w:fldCharType="begin"/>
            </w:r>
            <w:r>
              <w:instrText>PAGEREF _Toc84727359 \h</w:instrText>
            </w:r>
            <w:r>
              <w:fldChar w:fldCharType="separate"/>
            </w:r>
            <w:r w:rsidRPr="6D5ED2DD">
              <w:rPr>
                <w:rStyle w:val="Hyperlink"/>
              </w:rPr>
              <w:t>54</w:t>
            </w:r>
            <w:r>
              <w:fldChar w:fldCharType="end"/>
            </w:r>
          </w:hyperlink>
        </w:p>
        <w:p w14:paraId="7A7C7386" w14:textId="0F6658EC" w:rsidR="6D5ED2DD" w:rsidRDefault="6D5ED2DD" w:rsidP="6D5ED2DD">
          <w:pPr>
            <w:pStyle w:val="TOC1"/>
            <w:tabs>
              <w:tab w:val="right" w:leader="dot" w:pos="9015"/>
            </w:tabs>
            <w:rPr>
              <w:rStyle w:val="Hyperlink"/>
            </w:rPr>
          </w:pPr>
          <w:hyperlink w:anchor="_Toc1155228358">
            <w:r w:rsidRPr="6D5ED2DD">
              <w:rPr>
                <w:rStyle w:val="Hyperlink"/>
              </w:rPr>
              <w:t>Keuzefonds Robeco</w:t>
            </w:r>
            <w:r>
              <w:tab/>
            </w:r>
            <w:r>
              <w:fldChar w:fldCharType="begin"/>
            </w:r>
            <w:r>
              <w:instrText>PAGEREF _Toc1155228358 \h</w:instrText>
            </w:r>
            <w:r>
              <w:fldChar w:fldCharType="separate"/>
            </w:r>
            <w:r w:rsidRPr="6D5ED2DD">
              <w:rPr>
                <w:rStyle w:val="Hyperlink"/>
              </w:rPr>
              <w:t>54</w:t>
            </w:r>
            <w:r>
              <w:fldChar w:fldCharType="end"/>
            </w:r>
          </w:hyperlink>
        </w:p>
        <w:p w14:paraId="7060E229" w14:textId="40036FDA" w:rsidR="6D5ED2DD" w:rsidRDefault="6D5ED2DD" w:rsidP="6D5ED2DD">
          <w:pPr>
            <w:pStyle w:val="TOC1"/>
            <w:tabs>
              <w:tab w:val="right" w:leader="dot" w:pos="9015"/>
            </w:tabs>
            <w:rPr>
              <w:rStyle w:val="Hyperlink"/>
            </w:rPr>
          </w:pPr>
          <w:hyperlink w:anchor="_Toc1327492450">
            <w:r w:rsidRPr="6D5ED2DD">
              <w:rPr>
                <w:rStyle w:val="Hyperlink"/>
              </w:rPr>
              <w:t>Keuzefonds ASN</w:t>
            </w:r>
            <w:r>
              <w:tab/>
            </w:r>
            <w:r>
              <w:fldChar w:fldCharType="begin"/>
            </w:r>
            <w:r>
              <w:instrText>PAGEREF _Toc1327492450 \h</w:instrText>
            </w:r>
            <w:r>
              <w:fldChar w:fldCharType="separate"/>
            </w:r>
            <w:r w:rsidRPr="6D5ED2DD">
              <w:rPr>
                <w:rStyle w:val="Hyperlink"/>
              </w:rPr>
              <w:t>54</w:t>
            </w:r>
            <w:r>
              <w:fldChar w:fldCharType="end"/>
            </w:r>
          </w:hyperlink>
        </w:p>
        <w:p w14:paraId="5A84D69D" w14:textId="43476FFB" w:rsidR="6D5ED2DD" w:rsidRDefault="6D5ED2DD" w:rsidP="6D5ED2DD">
          <w:pPr>
            <w:pStyle w:val="TOC1"/>
            <w:tabs>
              <w:tab w:val="right" w:leader="dot" w:pos="9015"/>
            </w:tabs>
            <w:rPr>
              <w:rStyle w:val="Hyperlink"/>
            </w:rPr>
          </w:pPr>
          <w:hyperlink w:anchor="_Toc1804052808">
            <w:r w:rsidRPr="6D5ED2DD">
              <w:rPr>
                <w:rStyle w:val="Hyperlink"/>
              </w:rPr>
              <w:t>1. Communicatie beleggingsstrategie (10%)</w:t>
            </w:r>
            <w:r>
              <w:tab/>
            </w:r>
            <w:r>
              <w:fldChar w:fldCharType="begin"/>
            </w:r>
            <w:r>
              <w:instrText>PAGEREF _Toc1804052808 \h</w:instrText>
            </w:r>
            <w:r>
              <w:fldChar w:fldCharType="separate"/>
            </w:r>
            <w:r w:rsidRPr="6D5ED2DD">
              <w:rPr>
                <w:rStyle w:val="Hyperlink"/>
              </w:rPr>
              <w:t>54</w:t>
            </w:r>
            <w:r>
              <w:fldChar w:fldCharType="end"/>
            </w:r>
          </w:hyperlink>
        </w:p>
        <w:p w14:paraId="11F51767" w14:textId="7C407306" w:rsidR="6D5ED2DD" w:rsidRDefault="6D5ED2DD" w:rsidP="6D5ED2DD">
          <w:pPr>
            <w:pStyle w:val="TOC1"/>
            <w:tabs>
              <w:tab w:val="right" w:leader="dot" w:pos="9015"/>
            </w:tabs>
            <w:rPr>
              <w:rStyle w:val="Hyperlink"/>
            </w:rPr>
          </w:pPr>
          <w:hyperlink w:anchor="_Toc1419694106">
            <w:r w:rsidRPr="6D5ED2DD">
              <w:rPr>
                <w:rStyle w:val="Hyperlink"/>
              </w:rPr>
              <w:t>2. Historische risico/rendementsverhouding (25%)</w:t>
            </w:r>
            <w:r>
              <w:tab/>
            </w:r>
            <w:r>
              <w:fldChar w:fldCharType="begin"/>
            </w:r>
            <w:r>
              <w:instrText>PAGEREF _Toc1419694106 \h</w:instrText>
            </w:r>
            <w:r>
              <w:fldChar w:fldCharType="separate"/>
            </w:r>
            <w:r w:rsidRPr="6D5ED2DD">
              <w:rPr>
                <w:rStyle w:val="Hyperlink"/>
              </w:rPr>
              <w:t>54</w:t>
            </w:r>
            <w:r>
              <w:fldChar w:fldCharType="end"/>
            </w:r>
          </w:hyperlink>
        </w:p>
        <w:p w14:paraId="61FD91C6" w14:textId="031D2253" w:rsidR="6D5ED2DD" w:rsidRDefault="6D5ED2DD" w:rsidP="6D5ED2DD">
          <w:pPr>
            <w:pStyle w:val="TOC1"/>
            <w:tabs>
              <w:tab w:val="right" w:leader="dot" w:pos="9015"/>
            </w:tabs>
            <w:rPr>
              <w:rStyle w:val="Hyperlink"/>
            </w:rPr>
          </w:pPr>
          <w:hyperlink w:anchor="_Toc873730252">
            <w:r w:rsidRPr="6D5ED2DD">
              <w:rPr>
                <w:rStyle w:val="Hyperlink"/>
              </w:rPr>
              <w:t>3. Kosten (15%)</w:t>
            </w:r>
            <w:r>
              <w:tab/>
            </w:r>
            <w:r>
              <w:fldChar w:fldCharType="begin"/>
            </w:r>
            <w:r>
              <w:instrText>PAGEREF _Toc873730252 \h</w:instrText>
            </w:r>
            <w:r>
              <w:fldChar w:fldCharType="separate"/>
            </w:r>
            <w:r w:rsidRPr="6D5ED2DD">
              <w:rPr>
                <w:rStyle w:val="Hyperlink"/>
              </w:rPr>
              <w:t>54</w:t>
            </w:r>
            <w:r>
              <w:fldChar w:fldCharType="end"/>
            </w:r>
          </w:hyperlink>
        </w:p>
        <w:p w14:paraId="4967BE7F" w14:textId="3FE2B699" w:rsidR="6D5ED2DD" w:rsidRDefault="6D5ED2DD" w:rsidP="6D5ED2DD">
          <w:pPr>
            <w:pStyle w:val="TOC1"/>
            <w:tabs>
              <w:tab w:val="right" w:leader="dot" w:pos="9015"/>
            </w:tabs>
            <w:rPr>
              <w:rStyle w:val="Hyperlink"/>
            </w:rPr>
          </w:pPr>
          <w:hyperlink w:anchor="_Toc287269650">
            <w:r w:rsidRPr="6D5ED2DD">
              <w:rPr>
                <w:rStyle w:val="Hyperlink"/>
              </w:rPr>
              <w:t>4. Aansluiting bij de strategie van het adviesbureau (30%)</w:t>
            </w:r>
            <w:r>
              <w:tab/>
            </w:r>
            <w:r>
              <w:fldChar w:fldCharType="begin"/>
            </w:r>
            <w:r>
              <w:instrText>PAGEREF _Toc287269650 \h</w:instrText>
            </w:r>
            <w:r>
              <w:fldChar w:fldCharType="separate"/>
            </w:r>
            <w:r w:rsidRPr="6D5ED2DD">
              <w:rPr>
                <w:rStyle w:val="Hyperlink"/>
              </w:rPr>
              <w:t>54</w:t>
            </w:r>
            <w:r>
              <w:fldChar w:fldCharType="end"/>
            </w:r>
          </w:hyperlink>
        </w:p>
        <w:p w14:paraId="779E7E8A" w14:textId="55D137F3" w:rsidR="6D5ED2DD" w:rsidRDefault="6D5ED2DD" w:rsidP="6D5ED2DD">
          <w:pPr>
            <w:pStyle w:val="TOC1"/>
            <w:tabs>
              <w:tab w:val="right" w:leader="dot" w:pos="9015"/>
            </w:tabs>
            <w:rPr>
              <w:rStyle w:val="Hyperlink"/>
            </w:rPr>
          </w:pPr>
          <w:hyperlink w:anchor="_Toc1320197951">
            <w:r w:rsidRPr="6D5ED2DD">
              <w:rPr>
                <w:rStyle w:val="Hyperlink"/>
              </w:rPr>
              <w:t>5. Klimaatrisico’s (10%)</w:t>
            </w:r>
            <w:r>
              <w:tab/>
            </w:r>
            <w:r>
              <w:fldChar w:fldCharType="begin"/>
            </w:r>
            <w:r>
              <w:instrText>PAGEREF _Toc1320197951 \h</w:instrText>
            </w:r>
            <w:r>
              <w:fldChar w:fldCharType="separate"/>
            </w:r>
            <w:r w:rsidRPr="6D5ED2DD">
              <w:rPr>
                <w:rStyle w:val="Hyperlink"/>
              </w:rPr>
              <w:t>54</w:t>
            </w:r>
            <w:r>
              <w:fldChar w:fldCharType="end"/>
            </w:r>
          </w:hyperlink>
        </w:p>
        <w:p w14:paraId="5FA318C9" w14:textId="7815E49B" w:rsidR="6D5ED2DD" w:rsidRDefault="6D5ED2DD" w:rsidP="6D5ED2DD">
          <w:pPr>
            <w:pStyle w:val="TOC1"/>
            <w:tabs>
              <w:tab w:val="right" w:leader="dot" w:pos="9015"/>
            </w:tabs>
            <w:rPr>
              <w:rStyle w:val="Hyperlink"/>
            </w:rPr>
          </w:pPr>
          <w:hyperlink w:anchor="_Toc1475353659">
            <w:r w:rsidRPr="6D5ED2DD">
              <w:rPr>
                <w:rStyle w:val="Hyperlink"/>
              </w:rPr>
              <w:t>6. Klantcommunicatie (10%)</w:t>
            </w:r>
            <w:r>
              <w:tab/>
            </w:r>
            <w:r>
              <w:fldChar w:fldCharType="begin"/>
            </w:r>
            <w:r>
              <w:instrText>PAGEREF _Toc1475353659 \h</w:instrText>
            </w:r>
            <w:r>
              <w:fldChar w:fldCharType="separate"/>
            </w:r>
            <w:r w:rsidRPr="6D5ED2DD">
              <w:rPr>
                <w:rStyle w:val="Hyperlink"/>
              </w:rPr>
              <w:t>54</w:t>
            </w:r>
            <w:r>
              <w:fldChar w:fldCharType="end"/>
            </w:r>
          </w:hyperlink>
        </w:p>
        <w:p w14:paraId="4E5BD109" w14:textId="2F389B21" w:rsidR="6D5ED2DD" w:rsidRDefault="6D5ED2DD" w:rsidP="6D5ED2DD">
          <w:pPr>
            <w:pStyle w:val="TOC2"/>
            <w:tabs>
              <w:tab w:val="right" w:leader="dot" w:pos="9015"/>
            </w:tabs>
            <w:rPr>
              <w:rStyle w:val="Hyperlink"/>
            </w:rPr>
          </w:pPr>
          <w:hyperlink w:anchor="_Toc20343218">
            <w:r w:rsidRPr="6D5ED2DD">
              <w:rPr>
                <w:rStyle w:val="Hyperlink"/>
              </w:rPr>
              <w:t>2.12 Bronnenlijst (APA 7e editie)</w:t>
            </w:r>
            <w:r>
              <w:tab/>
            </w:r>
            <w:r>
              <w:fldChar w:fldCharType="begin"/>
            </w:r>
            <w:r>
              <w:instrText>PAGEREF _Toc20343218 \h</w:instrText>
            </w:r>
            <w:r>
              <w:fldChar w:fldCharType="separate"/>
            </w:r>
            <w:r w:rsidRPr="6D5ED2DD">
              <w:rPr>
                <w:rStyle w:val="Hyperlink"/>
              </w:rPr>
              <w:t>54</w:t>
            </w:r>
            <w:r>
              <w:fldChar w:fldCharType="end"/>
            </w:r>
          </w:hyperlink>
          <w:r>
            <w:fldChar w:fldCharType="end"/>
          </w:r>
        </w:p>
      </w:sdtContent>
    </w:sdt>
    <w:p w14:paraId="4013039F" w14:textId="04418260" w:rsidR="00693593" w:rsidRPr="0031355F" w:rsidRDefault="00693593"/>
    <w:p w14:paraId="10A9784D" w14:textId="77777777" w:rsidR="00DA1CDF" w:rsidRPr="0031355F" w:rsidRDefault="00DA1CDF" w:rsidP="00DA1CDF">
      <w:pPr>
        <w:pStyle w:val="ListParagraph"/>
      </w:pPr>
    </w:p>
    <w:p w14:paraId="7ACB87B9" w14:textId="77777777" w:rsidR="00693593" w:rsidRPr="0031355F" w:rsidRDefault="00693593" w:rsidP="00DA1CDF">
      <w:pPr>
        <w:pStyle w:val="ListParagraph"/>
      </w:pPr>
    </w:p>
    <w:p w14:paraId="68B64ED2" w14:textId="77777777" w:rsidR="00693593" w:rsidRPr="0031355F" w:rsidRDefault="00693593" w:rsidP="00DA1CDF">
      <w:pPr>
        <w:pStyle w:val="ListParagraph"/>
      </w:pPr>
    </w:p>
    <w:p w14:paraId="14520F23" w14:textId="77777777" w:rsidR="00693593" w:rsidRPr="0031355F" w:rsidRDefault="00693593" w:rsidP="00DA1CDF">
      <w:pPr>
        <w:pStyle w:val="ListParagraph"/>
      </w:pPr>
    </w:p>
    <w:p w14:paraId="5921EB23" w14:textId="77777777" w:rsidR="00693593" w:rsidRPr="0031355F" w:rsidRDefault="00693593" w:rsidP="00DA1CDF">
      <w:pPr>
        <w:pStyle w:val="ListParagraph"/>
      </w:pPr>
    </w:p>
    <w:p w14:paraId="7F4227C4" w14:textId="77777777" w:rsidR="00693593" w:rsidRPr="0031355F" w:rsidRDefault="00693593" w:rsidP="00DA1CDF">
      <w:pPr>
        <w:pStyle w:val="ListParagraph"/>
      </w:pPr>
    </w:p>
    <w:p w14:paraId="1E8A4734" w14:textId="77777777" w:rsidR="00693593" w:rsidRPr="0031355F" w:rsidRDefault="00693593" w:rsidP="00DA1CDF">
      <w:pPr>
        <w:pStyle w:val="ListParagraph"/>
      </w:pPr>
    </w:p>
    <w:p w14:paraId="07993D2D" w14:textId="77777777" w:rsidR="00693593" w:rsidRPr="0031355F" w:rsidRDefault="00693593" w:rsidP="00DA1CDF">
      <w:pPr>
        <w:pStyle w:val="ListParagraph"/>
      </w:pPr>
    </w:p>
    <w:p w14:paraId="704E02F8" w14:textId="77777777" w:rsidR="00693593" w:rsidRPr="0031355F" w:rsidRDefault="00693593" w:rsidP="00DA1CDF">
      <w:pPr>
        <w:pStyle w:val="ListParagraph"/>
      </w:pPr>
    </w:p>
    <w:p w14:paraId="2E8C88B5" w14:textId="77777777" w:rsidR="00693593" w:rsidRPr="0031355F" w:rsidRDefault="00693593" w:rsidP="00DA1CDF">
      <w:pPr>
        <w:pStyle w:val="ListParagraph"/>
      </w:pPr>
    </w:p>
    <w:p w14:paraId="2CE7CFAF" w14:textId="77777777" w:rsidR="00693593" w:rsidRPr="0031355F" w:rsidRDefault="00693593" w:rsidP="00DA1CDF">
      <w:pPr>
        <w:pStyle w:val="ListParagraph"/>
      </w:pPr>
    </w:p>
    <w:p w14:paraId="1AFDED4E" w14:textId="77777777" w:rsidR="00693593" w:rsidRPr="0031355F" w:rsidRDefault="00693593" w:rsidP="00DA1CDF">
      <w:pPr>
        <w:pStyle w:val="ListParagraph"/>
      </w:pPr>
    </w:p>
    <w:p w14:paraId="0F5F7A3C" w14:textId="77777777" w:rsidR="00693593" w:rsidRPr="0031355F" w:rsidRDefault="00693593" w:rsidP="00DA1CDF">
      <w:pPr>
        <w:pStyle w:val="ListParagraph"/>
      </w:pPr>
    </w:p>
    <w:p w14:paraId="424F832F" w14:textId="77777777" w:rsidR="00693593" w:rsidRPr="0031355F" w:rsidRDefault="00693593" w:rsidP="00DA1CDF">
      <w:pPr>
        <w:pStyle w:val="ListParagraph"/>
      </w:pPr>
    </w:p>
    <w:p w14:paraId="664F92B6" w14:textId="77777777" w:rsidR="00693593" w:rsidRPr="0031355F" w:rsidRDefault="00693593" w:rsidP="00DA1CDF">
      <w:pPr>
        <w:pStyle w:val="ListParagraph"/>
      </w:pPr>
    </w:p>
    <w:p w14:paraId="7387B549" w14:textId="77777777" w:rsidR="00693593" w:rsidRPr="0031355F" w:rsidRDefault="00693593" w:rsidP="00DA1CDF">
      <w:pPr>
        <w:pStyle w:val="ListParagraph"/>
      </w:pPr>
    </w:p>
    <w:p w14:paraId="72890DDD" w14:textId="77777777" w:rsidR="00693593" w:rsidRPr="0031355F" w:rsidRDefault="00693593" w:rsidP="00DA1CDF">
      <w:pPr>
        <w:pStyle w:val="ListParagraph"/>
      </w:pPr>
    </w:p>
    <w:p w14:paraId="215515EC" w14:textId="77777777" w:rsidR="00693593" w:rsidRPr="0031355F" w:rsidRDefault="00693593" w:rsidP="00DA1CDF">
      <w:pPr>
        <w:pStyle w:val="ListParagraph"/>
      </w:pPr>
    </w:p>
    <w:p w14:paraId="48259358" w14:textId="77777777" w:rsidR="00693593" w:rsidRPr="0031355F" w:rsidRDefault="00693593" w:rsidP="00DA1CDF">
      <w:pPr>
        <w:pStyle w:val="ListParagraph"/>
      </w:pPr>
    </w:p>
    <w:p w14:paraId="639C48BC" w14:textId="77777777" w:rsidR="00693593" w:rsidRPr="0031355F" w:rsidRDefault="00693593" w:rsidP="00DA1CDF">
      <w:pPr>
        <w:pStyle w:val="ListParagraph"/>
      </w:pPr>
    </w:p>
    <w:p w14:paraId="643D26E3" w14:textId="77777777" w:rsidR="00693593" w:rsidRPr="0031355F" w:rsidRDefault="00693593" w:rsidP="00DA1CDF">
      <w:pPr>
        <w:pStyle w:val="ListParagraph"/>
      </w:pPr>
    </w:p>
    <w:p w14:paraId="248E2DB7" w14:textId="77777777" w:rsidR="00693593" w:rsidRPr="0031355F" w:rsidRDefault="00693593" w:rsidP="00DA1CDF">
      <w:pPr>
        <w:pStyle w:val="ListParagraph"/>
      </w:pPr>
    </w:p>
    <w:p w14:paraId="2DD402AC" w14:textId="77777777" w:rsidR="00693593" w:rsidRPr="0031355F" w:rsidRDefault="00693593" w:rsidP="00DA1CDF">
      <w:pPr>
        <w:pStyle w:val="ListParagraph"/>
      </w:pPr>
    </w:p>
    <w:p w14:paraId="33386F2B" w14:textId="77777777" w:rsidR="00693593" w:rsidRPr="0031355F" w:rsidRDefault="00693593" w:rsidP="00DA1CDF">
      <w:pPr>
        <w:pStyle w:val="ListParagraph"/>
      </w:pPr>
    </w:p>
    <w:p w14:paraId="01371E86" w14:textId="77777777" w:rsidR="00693593" w:rsidRPr="0031355F" w:rsidRDefault="00693593" w:rsidP="00DA1CDF">
      <w:pPr>
        <w:pStyle w:val="ListParagraph"/>
      </w:pPr>
    </w:p>
    <w:p w14:paraId="5CFAF07A" w14:textId="77777777" w:rsidR="00693593" w:rsidRPr="0031355F" w:rsidRDefault="00693593" w:rsidP="00DA1CDF">
      <w:pPr>
        <w:pStyle w:val="ListParagraph"/>
      </w:pPr>
    </w:p>
    <w:p w14:paraId="0A81E5BB" w14:textId="77777777" w:rsidR="00693593" w:rsidRPr="0031355F" w:rsidRDefault="00693593" w:rsidP="00693593">
      <w:pPr>
        <w:pStyle w:val="Heading1"/>
      </w:pPr>
    </w:p>
    <w:p w14:paraId="489D0A24" w14:textId="28922AD5" w:rsidR="00693593" w:rsidRPr="0031355F" w:rsidRDefault="14292835" w:rsidP="00693593">
      <w:pPr>
        <w:pStyle w:val="Heading1"/>
      </w:pPr>
      <w:bookmarkStart w:id="0" w:name="_Toc27486620"/>
      <w:r>
        <w:t>Analyse Laurens Dijkens</w:t>
      </w:r>
      <w:bookmarkEnd w:id="0"/>
    </w:p>
    <w:tbl>
      <w:tblPr>
        <w:tblpPr w:leftFromText="180" w:rightFromText="180" w:vertAnchor="page" w:horzAnchor="margin" w:tblpY="6289"/>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3"/>
        <w:gridCol w:w="2577"/>
        <w:gridCol w:w="1485"/>
        <w:gridCol w:w="1004"/>
        <w:gridCol w:w="1227"/>
      </w:tblGrid>
      <w:tr w:rsidR="00EE37EA" w:rsidRPr="00C520C3" w14:paraId="1DFCA64F" w14:textId="77777777" w:rsidTr="00EE37EA">
        <w:trPr>
          <w:tblHeader/>
          <w:tblCellSpacing w:w="15" w:type="dxa"/>
        </w:trPr>
        <w:tc>
          <w:tcPr>
            <w:tcW w:w="0" w:type="auto"/>
            <w:vAlign w:val="center"/>
            <w:hideMark/>
          </w:tcPr>
          <w:p w14:paraId="08801F53" w14:textId="77777777" w:rsidR="00EE37EA" w:rsidRPr="00C520C3" w:rsidRDefault="00EE37EA" w:rsidP="00EE37EA">
            <w:pPr>
              <w:rPr>
                <w:b/>
                <w:bCs/>
              </w:rPr>
            </w:pPr>
            <w:r w:rsidRPr="00C520C3">
              <w:rPr>
                <w:b/>
                <w:bCs/>
              </w:rPr>
              <w:t>Vermogensbeheerder</w:t>
            </w:r>
          </w:p>
        </w:tc>
        <w:tc>
          <w:tcPr>
            <w:tcW w:w="0" w:type="auto"/>
            <w:vAlign w:val="center"/>
            <w:hideMark/>
          </w:tcPr>
          <w:p w14:paraId="363E67AE" w14:textId="77777777" w:rsidR="00EE37EA" w:rsidRPr="00C520C3" w:rsidRDefault="00EE37EA" w:rsidP="00EE37EA">
            <w:pPr>
              <w:rPr>
                <w:b/>
                <w:bCs/>
              </w:rPr>
            </w:pPr>
            <w:r w:rsidRPr="00C520C3">
              <w:rPr>
                <w:b/>
                <w:bCs/>
              </w:rPr>
              <w:t>Duurzaamheidsbeleid     40 %</w:t>
            </w:r>
          </w:p>
        </w:tc>
        <w:tc>
          <w:tcPr>
            <w:tcW w:w="0" w:type="auto"/>
            <w:vAlign w:val="center"/>
            <w:hideMark/>
          </w:tcPr>
          <w:p w14:paraId="131C3E5A" w14:textId="77777777" w:rsidR="00EE37EA" w:rsidRPr="00C520C3" w:rsidRDefault="00EE37EA" w:rsidP="00EE37EA">
            <w:pPr>
              <w:rPr>
                <w:b/>
                <w:bCs/>
              </w:rPr>
            </w:pPr>
            <w:proofErr w:type="spellStart"/>
            <w:r w:rsidRPr="00C520C3">
              <w:rPr>
                <w:b/>
                <w:bCs/>
              </w:rPr>
              <w:t>Governance</w:t>
            </w:r>
            <w:proofErr w:type="spellEnd"/>
            <w:r w:rsidRPr="00C520C3">
              <w:rPr>
                <w:b/>
                <w:bCs/>
              </w:rPr>
              <w:t xml:space="preserve"> 40%  </w:t>
            </w:r>
          </w:p>
        </w:tc>
        <w:tc>
          <w:tcPr>
            <w:tcW w:w="0" w:type="auto"/>
            <w:vAlign w:val="center"/>
            <w:hideMark/>
          </w:tcPr>
          <w:p w14:paraId="3D90C8C1" w14:textId="77777777" w:rsidR="00EE37EA" w:rsidRPr="00C520C3" w:rsidRDefault="00EE37EA" w:rsidP="00EE37EA">
            <w:pPr>
              <w:rPr>
                <w:b/>
                <w:bCs/>
              </w:rPr>
            </w:pPr>
            <w:r w:rsidRPr="00C520C3">
              <w:rPr>
                <w:b/>
                <w:bCs/>
              </w:rPr>
              <w:t>Bad Press 20%</w:t>
            </w:r>
          </w:p>
        </w:tc>
        <w:tc>
          <w:tcPr>
            <w:tcW w:w="0" w:type="auto"/>
            <w:vAlign w:val="center"/>
            <w:hideMark/>
          </w:tcPr>
          <w:p w14:paraId="76726795" w14:textId="77777777" w:rsidR="00EE37EA" w:rsidRPr="00C520C3" w:rsidRDefault="00EE37EA" w:rsidP="00EE37EA">
            <w:pPr>
              <w:rPr>
                <w:b/>
                <w:bCs/>
              </w:rPr>
            </w:pPr>
            <w:r w:rsidRPr="00C520C3">
              <w:rPr>
                <w:b/>
                <w:bCs/>
              </w:rPr>
              <w:t>Totaalscore</w:t>
            </w:r>
          </w:p>
        </w:tc>
      </w:tr>
      <w:tr w:rsidR="00EE37EA" w:rsidRPr="00C520C3" w14:paraId="63C6E486" w14:textId="77777777" w:rsidTr="00EE37EA">
        <w:trPr>
          <w:tblCellSpacing w:w="15" w:type="dxa"/>
        </w:trPr>
        <w:tc>
          <w:tcPr>
            <w:tcW w:w="0" w:type="auto"/>
            <w:vAlign w:val="center"/>
            <w:hideMark/>
          </w:tcPr>
          <w:p w14:paraId="0084DCD3" w14:textId="77777777" w:rsidR="00EE37EA" w:rsidRPr="00C520C3" w:rsidRDefault="00EE37EA" w:rsidP="00EE37EA">
            <w:proofErr w:type="spellStart"/>
            <w:r w:rsidRPr="00C520C3">
              <w:t>Amundi</w:t>
            </w:r>
            <w:proofErr w:type="spellEnd"/>
          </w:p>
        </w:tc>
        <w:tc>
          <w:tcPr>
            <w:tcW w:w="0" w:type="auto"/>
            <w:vAlign w:val="center"/>
            <w:hideMark/>
          </w:tcPr>
          <w:p w14:paraId="04184001" w14:textId="77777777" w:rsidR="00EE37EA" w:rsidRPr="00C520C3" w:rsidRDefault="00EE37EA" w:rsidP="00EE37EA">
            <w:r w:rsidRPr="00C520C3">
              <w:t>8</w:t>
            </w:r>
          </w:p>
        </w:tc>
        <w:tc>
          <w:tcPr>
            <w:tcW w:w="0" w:type="auto"/>
            <w:vAlign w:val="center"/>
            <w:hideMark/>
          </w:tcPr>
          <w:p w14:paraId="315C266E" w14:textId="77777777" w:rsidR="00EE37EA" w:rsidRPr="00C520C3" w:rsidRDefault="00EE37EA" w:rsidP="00EE37EA">
            <w:r w:rsidRPr="00C520C3">
              <w:t>8</w:t>
            </w:r>
          </w:p>
        </w:tc>
        <w:tc>
          <w:tcPr>
            <w:tcW w:w="0" w:type="auto"/>
            <w:vAlign w:val="center"/>
            <w:hideMark/>
          </w:tcPr>
          <w:p w14:paraId="373B148C" w14:textId="77777777" w:rsidR="00EE37EA" w:rsidRPr="00C520C3" w:rsidRDefault="00EE37EA" w:rsidP="00EE37EA">
            <w:r w:rsidRPr="00C520C3">
              <w:t>5</w:t>
            </w:r>
          </w:p>
        </w:tc>
        <w:tc>
          <w:tcPr>
            <w:tcW w:w="0" w:type="auto"/>
            <w:vAlign w:val="center"/>
            <w:hideMark/>
          </w:tcPr>
          <w:p w14:paraId="70901D74" w14:textId="77777777" w:rsidR="00EE37EA" w:rsidRPr="00C520C3" w:rsidRDefault="00EE37EA" w:rsidP="00EE37EA">
            <w:r w:rsidRPr="00C520C3">
              <w:rPr>
                <w:b/>
                <w:bCs/>
              </w:rPr>
              <w:t>7.6</w:t>
            </w:r>
          </w:p>
        </w:tc>
      </w:tr>
      <w:tr w:rsidR="00EE37EA" w:rsidRPr="00C520C3" w14:paraId="2DCF35C9" w14:textId="77777777" w:rsidTr="00EE37EA">
        <w:trPr>
          <w:tblCellSpacing w:w="15" w:type="dxa"/>
        </w:trPr>
        <w:tc>
          <w:tcPr>
            <w:tcW w:w="0" w:type="auto"/>
            <w:vAlign w:val="center"/>
            <w:hideMark/>
          </w:tcPr>
          <w:p w14:paraId="6039CC68" w14:textId="77777777" w:rsidR="00EE37EA" w:rsidRPr="00C520C3" w:rsidRDefault="00EE37EA" w:rsidP="00EE37EA">
            <w:r w:rsidRPr="00C520C3">
              <w:t xml:space="preserve">ASN Impact </w:t>
            </w:r>
            <w:proofErr w:type="spellStart"/>
            <w:r w:rsidRPr="00C520C3">
              <w:t>Investors</w:t>
            </w:r>
            <w:proofErr w:type="spellEnd"/>
          </w:p>
        </w:tc>
        <w:tc>
          <w:tcPr>
            <w:tcW w:w="0" w:type="auto"/>
            <w:vAlign w:val="center"/>
            <w:hideMark/>
          </w:tcPr>
          <w:p w14:paraId="2463A8EB" w14:textId="77777777" w:rsidR="00EE37EA" w:rsidRPr="00C520C3" w:rsidRDefault="00EE37EA" w:rsidP="00EE37EA">
            <w:r w:rsidRPr="00C520C3">
              <w:t>9</w:t>
            </w:r>
          </w:p>
        </w:tc>
        <w:tc>
          <w:tcPr>
            <w:tcW w:w="0" w:type="auto"/>
            <w:vAlign w:val="center"/>
            <w:hideMark/>
          </w:tcPr>
          <w:p w14:paraId="1E5411DF" w14:textId="77777777" w:rsidR="00EE37EA" w:rsidRPr="00C520C3" w:rsidRDefault="00EE37EA" w:rsidP="00EE37EA">
            <w:r w:rsidRPr="00C520C3">
              <w:t>8</w:t>
            </w:r>
          </w:p>
        </w:tc>
        <w:tc>
          <w:tcPr>
            <w:tcW w:w="0" w:type="auto"/>
            <w:vAlign w:val="center"/>
            <w:hideMark/>
          </w:tcPr>
          <w:p w14:paraId="1A3E4AF7" w14:textId="77777777" w:rsidR="00EE37EA" w:rsidRPr="00C520C3" w:rsidRDefault="00EE37EA" w:rsidP="00EE37EA">
            <w:r w:rsidRPr="00C520C3">
              <w:t>8</w:t>
            </w:r>
          </w:p>
        </w:tc>
        <w:tc>
          <w:tcPr>
            <w:tcW w:w="0" w:type="auto"/>
            <w:shd w:val="clear" w:color="auto" w:fill="4EA72E" w:themeFill="accent6"/>
            <w:vAlign w:val="center"/>
            <w:hideMark/>
          </w:tcPr>
          <w:p w14:paraId="62CEACFC" w14:textId="77777777" w:rsidR="00EE37EA" w:rsidRPr="00C520C3" w:rsidRDefault="00EE37EA" w:rsidP="00EE37EA">
            <w:r w:rsidRPr="00C520C3">
              <w:rPr>
                <w:b/>
                <w:bCs/>
              </w:rPr>
              <w:t>8.6</w:t>
            </w:r>
          </w:p>
        </w:tc>
      </w:tr>
      <w:tr w:rsidR="00EE37EA" w:rsidRPr="00C520C3" w14:paraId="1DEC9699" w14:textId="77777777" w:rsidTr="00EE37EA">
        <w:trPr>
          <w:tblCellSpacing w:w="15" w:type="dxa"/>
        </w:trPr>
        <w:tc>
          <w:tcPr>
            <w:tcW w:w="0" w:type="auto"/>
            <w:vAlign w:val="center"/>
            <w:hideMark/>
          </w:tcPr>
          <w:p w14:paraId="014F2BA0" w14:textId="77777777" w:rsidR="00EE37EA" w:rsidRPr="00C520C3" w:rsidRDefault="00EE37EA" w:rsidP="00EE37EA">
            <w:r w:rsidRPr="00C520C3">
              <w:t>DWS Group</w:t>
            </w:r>
          </w:p>
        </w:tc>
        <w:tc>
          <w:tcPr>
            <w:tcW w:w="0" w:type="auto"/>
            <w:vAlign w:val="center"/>
            <w:hideMark/>
          </w:tcPr>
          <w:p w14:paraId="5549572A" w14:textId="77777777" w:rsidR="00EE37EA" w:rsidRPr="00C520C3" w:rsidRDefault="00EE37EA" w:rsidP="00EE37EA">
            <w:r w:rsidRPr="00C520C3">
              <w:t>6</w:t>
            </w:r>
          </w:p>
        </w:tc>
        <w:tc>
          <w:tcPr>
            <w:tcW w:w="0" w:type="auto"/>
            <w:vAlign w:val="center"/>
            <w:hideMark/>
          </w:tcPr>
          <w:p w14:paraId="79A1CF61" w14:textId="77777777" w:rsidR="00EE37EA" w:rsidRPr="00C520C3" w:rsidRDefault="00EE37EA" w:rsidP="00EE37EA">
            <w:r w:rsidRPr="00C520C3">
              <w:t>5</w:t>
            </w:r>
          </w:p>
        </w:tc>
        <w:tc>
          <w:tcPr>
            <w:tcW w:w="0" w:type="auto"/>
            <w:vAlign w:val="center"/>
            <w:hideMark/>
          </w:tcPr>
          <w:p w14:paraId="4F9DC1D6" w14:textId="77777777" w:rsidR="00EE37EA" w:rsidRPr="00C520C3" w:rsidRDefault="00EE37EA" w:rsidP="00EE37EA">
            <w:r w:rsidRPr="00C520C3">
              <w:t>2</w:t>
            </w:r>
          </w:p>
        </w:tc>
        <w:tc>
          <w:tcPr>
            <w:tcW w:w="0" w:type="auto"/>
            <w:vAlign w:val="center"/>
            <w:hideMark/>
          </w:tcPr>
          <w:p w14:paraId="7222037C" w14:textId="77777777" w:rsidR="00EE37EA" w:rsidRPr="00C520C3" w:rsidRDefault="00EE37EA" w:rsidP="00EE37EA">
            <w:r w:rsidRPr="00C520C3">
              <w:rPr>
                <w:b/>
                <w:bCs/>
              </w:rPr>
              <w:t>4.4</w:t>
            </w:r>
          </w:p>
        </w:tc>
      </w:tr>
      <w:tr w:rsidR="00EE37EA" w:rsidRPr="00C520C3" w14:paraId="7F8373BE" w14:textId="77777777" w:rsidTr="00EE37EA">
        <w:trPr>
          <w:trHeight w:val="504"/>
          <w:tblCellSpacing w:w="15" w:type="dxa"/>
        </w:trPr>
        <w:tc>
          <w:tcPr>
            <w:tcW w:w="0" w:type="auto"/>
            <w:vAlign w:val="center"/>
            <w:hideMark/>
          </w:tcPr>
          <w:p w14:paraId="185A2A73" w14:textId="77777777" w:rsidR="00EE37EA" w:rsidRPr="00C520C3" w:rsidRDefault="00EE37EA" w:rsidP="00EE37EA">
            <w:r w:rsidRPr="00C520C3">
              <w:t>Triodos Investment Management</w:t>
            </w:r>
          </w:p>
        </w:tc>
        <w:tc>
          <w:tcPr>
            <w:tcW w:w="0" w:type="auto"/>
            <w:vAlign w:val="center"/>
            <w:hideMark/>
          </w:tcPr>
          <w:p w14:paraId="561B4076" w14:textId="77777777" w:rsidR="00EE37EA" w:rsidRPr="00C520C3" w:rsidRDefault="00EE37EA" w:rsidP="00EE37EA">
            <w:r w:rsidRPr="00C520C3">
              <w:t>9</w:t>
            </w:r>
          </w:p>
        </w:tc>
        <w:tc>
          <w:tcPr>
            <w:tcW w:w="0" w:type="auto"/>
            <w:vAlign w:val="center"/>
            <w:hideMark/>
          </w:tcPr>
          <w:p w14:paraId="6E84E208" w14:textId="77777777" w:rsidR="00EE37EA" w:rsidRPr="00C520C3" w:rsidRDefault="00EE37EA" w:rsidP="00EE37EA">
            <w:r w:rsidRPr="00C520C3">
              <w:t>7</w:t>
            </w:r>
          </w:p>
        </w:tc>
        <w:tc>
          <w:tcPr>
            <w:tcW w:w="0" w:type="auto"/>
            <w:vAlign w:val="center"/>
            <w:hideMark/>
          </w:tcPr>
          <w:p w14:paraId="7AE02DB6" w14:textId="77777777" w:rsidR="00EE37EA" w:rsidRPr="00C520C3" w:rsidRDefault="00EE37EA" w:rsidP="00EE37EA">
            <w:r w:rsidRPr="00C520C3">
              <w:t>6</w:t>
            </w:r>
          </w:p>
        </w:tc>
        <w:tc>
          <w:tcPr>
            <w:tcW w:w="0" w:type="auto"/>
            <w:vAlign w:val="center"/>
            <w:hideMark/>
          </w:tcPr>
          <w:p w14:paraId="05469309" w14:textId="77777777" w:rsidR="00EE37EA" w:rsidRPr="00C520C3" w:rsidRDefault="00EE37EA" w:rsidP="00EE37EA">
            <w:r w:rsidRPr="00C520C3">
              <w:rPr>
                <w:b/>
                <w:bCs/>
              </w:rPr>
              <w:t>7.8</w:t>
            </w:r>
          </w:p>
        </w:tc>
      </w:tr>
    </w:tbl>
    <w:p w14:paraId="2789FFC2" w14:textId="77777777" w:rsidR="00693593" w:rsidRPr="0031355F" w:rsidRDefault="00693593" w:rsidP="00693593"/>
    <w:p w14:paraId="1DA6953C" w14:textId="77777777" w:rsidR="00693593" w:rsidRPr="0031355F" w:rsidRDefault="00693593" w:rsidP="00693593"/>
    <w:p w14:paraId="1B54FEB9" w14:textId="77777777" w:rsidR="00693593" w:rsidRPr="0031355F" w:rsidRDefault="00693593" w:rsidP="00693593"/>
    <w:p w14:paraId="2264556A" w14:textId="77777777" w:rsidR="00EE37EA" w:rsidRPr="00C520C3" w:rsidRDefault="00EE37EA" w:rsidP="00EE37EA"/>
    <w:p w14:paraId="7E2D9AA5" w14:textId="77777777" w:rsidR="00EE37EA" w:rsidRPr="00C520C3" w:rsidRDefault="00EE37EA" w:rsidP="00EE37EA"/>
    <w:p w14:paraId="3692B5A9" w14:textId="77777777" w:rsidR="00EE37EA" w:rsidRPr="00C520C3" w:rsidRDefault="00EE37EA" w:rsidP="00EE37EA"/>
    <w:p w14:paraId="354FE8D7" w14:textId="77777777" w:rsidR="00EE37EA" w:rsidRPr="00C520C3" w:rsidRDefault="00EE37EA" w:rsidP="00EE37EA"/>
    <w:p w14:paraId="55A44EC7" w14:textId="77777777" w:rsidR="00EE37EA" w:rsidRPr="00C520C3" w:rsidRDefault="4ECF2E88" w:rsidP="00EE37EA">
      <w:pPr>
        <w:pStyle w:val="Heading1"/>
      </w:pPr>
      <w:bookmarkStart w:id="1" w:name="_Toc215578221"/>
      <w:bookmarkStart w:id="2" w:name="_Toc1485940518"/>
      <w:r>
        <w:t>Analyse vermogensbeheerders:</w:t>
      </w:r>
      <w:bookmarkEnd w:id="1"/>
      <w:bookmarkEnd w:id="2"/>
      <w:r>
        <w:t xml:space="preserve"> </w:t>
      </w:r>
    </w:p>
    <w:p w14:paraId="2F34C18C" w14:textId="77777777" w:rsidR="00EE37EA" w:rsidRPr="00C520C3" w:rsidRDefault="4ECF2E88" w:rsidP="00EE37EA">
      <w:pPr>
        <w:pStyle w:val="Heading2"/>
      </w:pPr>
      <w:bookmarkStart w:id="3" w:name="_Toc215578222"/>
      <w:bookmarkStart w:id="4" w:name="_Toc665748061"/>
      <w:r>
        <w:t>Amundi</w:t>
      </w:r>
      <w:bookmarkEnd w:id="3"/>
      <w:bookmarkEnd w:id="4"/>
    </w:p>
    <w:p w14:paraId="15F1F320" w14:textId="77777777" w:rsidR="00EE37EA" w:rsidRPr="00C520C3" w:rsidRDefault="00EE37EA" w:rsidP="00EE37EA">
      <w:pPr>
        <w:rPr>
          <w:b/>
          <w:bCs/>
        </w:rPr>
      </w:pPr>
      <w:r w:rsidRPr="00C520C3">
        <w:rPr>
          <w:b/>
          <w:bCs/>
        </w:rPr>
        <w:t>Duurzaamheidsbeleid (8/10)</w:t>
      </w:r>
    </w:p>
    <w:p w14:paraId="7E08CF3D" w14:textId="77777777" w:rsidR="00EE37EA" w:rsidRPr="00C520C3" w:rsidRDefault="00EE37EA" w:rsidP="00EE37EA">
      <w:pPr>
        <w:rPr>
          <w:b/>
          <w:bCs/>
        </w:rPr>
      </w:pPr>
      <w:r w:rsidRPr="00C520C3">
        <w:br/>
      </w:r>
      <w:proofErr w:type="spellStart"/>
      <w:r w:rsidRPr="00C520C3">
        <w:t>Amundi</w:t>
      </w:r>
      <w:proofErr w:type="spellEnd"/>
      <w:r w:rsidRPr="00C520C3">
        <w:t xml:space="preserve"> beschikt over een uitgebreid en geïntegreerd ESG-beleid dat duidelijk in alle lagen van de organisatie is verankerd. In het document </w:t>
      </w:r>
      <w:r w:rsidRPr="00C520C3">
        <w:rPr>
          <w:i/>
          <w:iCs/>
        </w:rPr>
        <w:t>“</w:t>
      </w:r>
      <w:proofErr w:type="spellStart"/>
      <w:r w:rsidRPr="00C520C3">
        <w:rPr>
          <w:i/>
          <w:iCs/>
        </w:rPr>
        <w:t>Our</w:t>
      </w:r>
      <w:proofErr w:type="spellEnd"/>
      <w:r w:rsidRPr="00C520C3">
        <w:rPr>
          <w:i/>
          <w:iCs/>
        </w:rPr>
        <w:t xml:space="preserve"> ESG Approach”</w:t>
      </w:r>
      <w:r w:rsidRPr="00C520C3">
        <w:t xml:space="preserve"> wordt beschreven dat milieu-, sociale en </w:t>
      </w:r>
      <w:proofErr w:type="spellStart"/>
      <w:r w:rsidRPr="00C520C3">
        <w:t>governance</w:t>
      </w:r>
      <w:proofErr w:type="spellEnd"/>
      <w:r w:rsidRPr="00C520C3">
        <w:t xml:space="preserve"> factoren (ESG) inmiddels een integraal onderdeel vormen van alle business </w:t>
      </w:r>
      <w:proofErr w:type="spellStart"/>
      <w:r w:rsidRPr="00C520C3">
        <w:t>lines</w:t>
      </w:r>
      <w:proofErr w:type="spellEnd"/>
      <w:r w:rsidRPr="00C520C3">
        <w:t xml:space="preserve"> van </w:t>
      </w:r>
      <w:proofErr w:type="spellStart"/>
      <w:r w:rsidRPr="00C520C3">
        <w:t>Amundi</w:t>
      </w:r>
      <w:proofErr w:type="spellEnd"/>
      <w:r w:rsidRPr="00C520C3">
        <w:t xml:space="preserve">. Dit betekent dat bij iedere investeringsbeslissing, ongeacht het fonds of de afdeling, ESG-aspecten systematisch worden meegewogen. Ter ondersteuning van deze aanpak is er een gespecialiseerde ESG-afdeling, die direct rapporteert aan de CEO en fungeert als strategisch en operationeel centrum voor duurzaamheid binnen de organisatie. Deze afdeling houdt toezicht op de implementatie van ESG-criteria, ontwikkelt richtlijnen voor verantwoord beleggen en coördineert interne trainingen en communicatie om ESG-bewustzijn te bevorderen. </w:t>
      </w:r>
    </w:p>
    <w:p w14:paraId="33035557" w14:textId="77777777" w:rsidR="00EE37EA" w:rsidRPr="00C520C3" w:rsidRDefault="00EE37EA" w:rsidP="00EE37EA">
      <w:r w:rsidRPr="00C520C3">
        <w:t xml:space="preserve">Daarnaast heeft </w:t>
      </w:r>
      <w:proofErr w:type="spellStart"/>
      <w:r w:rsidRPr="00C520C3">
        <w:t>Amundi</w:t>
      </w:r>
      <w:proofErr w:type="spellEnd"/>
      <w:r w:rsidRPr="00C520C3">
        <w:t xml:space="preserve"> haar ESG </w:t>
      </w:r>
      <w:proofErr w:type="spellStart"/>
      <w:r w:rsidRPr="00C520C3">
        <w:t>Ambition</w:t>
      </w:r>
      <w:proofErr w:type="spellEnd"/>
      <w:r w:rsidRPr="00C520C3">
        <w:t xml:space="preserve"> 2025-plan gepubliceerd, waarin concrete doelstellingen zijn geformuleerd. Een belangrijke ambitie is dat tegen 2025 alle actieve open fondsen ESG volledig geïntegreerd zullen hebben in hun beleggingsproces. Het plan benadrukt dat </w:t>
      </w:r>
      <w:proofErr w:type="spellStart"/>
      <w:r w:rsidRPr="00C520C3">
        <w:t>Amundi</w:t>
      </w:r>
      <w:proofErr w:type="spellEnd"/>
      <w:r w:rsidRPr="00C520C3">
        <w:t xml:space="preserve"> niet alleen streeft naar het naleven van ESG-criteria, maar ook actief bijdraagt aan een duurzame transitie door middel van engagement met bedrijven, positieve screening en verantwoord stemgedrag. Dit laat zien dat </w:t>
      </w:r>
      <w:proofErr w:type="spellStart"/>
      <w:r w:rsidRPr="00C520C3">
        <w:t>Amundi</w:t>
      </w:r>
      <w:proofErr w:type="spellEnd"/>
      <w:r w:rsidRPr="00C520C3">
        <w:t xml:space="preserve"> duurzaamheid strategisch positioneert als kernwaarde in plaats van als bijkomstigheid. </w:t>
      </w:r>
    </w:p>
    <w:p w14:paraId="21EDBFF3" w14:textId="77777777" w:rsidR="00EE37EA" w:rsidRPr="00C520C3" w:rsidRDefault="00EE37EA" w:rsidP="00EE37EA">
      <w:proofErr w:type="spellStart"/>
      <w:r w:rsidRPr="00C520C3">
        <w:t>Amundi</w:t>
      </w:r>
      <w:proofErr w:type="spellEnd"/>
      <w:r w:rsidRPr="00C520C3">
        <w:t xml:space="preserve"> publiceert daarnaast diverse beleidsdocumenten over verantwoord beleggen, waaronder de </w:t>
      </w:r>
      <w:r w:rsidRPr="00C520C3">
        <w:rPr>
          <w:i/>
          <w:iCs/>
        </w:rPr>
        <w:t xml:space="preserve">Global </w:t>
      </w:r>
      <w:proofErr w:type="spellStart"/>
      <w:r w:rsidRPr="00C520C3">
        <w:rPr>
          <w:i/>
          <w:iCs/>
        </w:rPr>
        <w:t>Responsible</w:t>
      </w:r>
      <w:proofErr w:type="spellEnd"/>
      <w:r w:rsidRPr="00C520C3">
        <w:rPr>
          <w:i/>
          <w:iCs/>
        </w:rPr>
        <w:t xml:space="preserve"> Investment Policy</w:t>
      </w:r>
      <w:r w:rsidRPr="00C520C3">
        <w:t xml:space="preserve">. Dit document legt onder andere uit welke uitsluitingscriteria gelden voor investeringen (zoals controversiële wapens, schendingen van mensenrechten of milieuovertredingen), hoe engagement met bedrijven wordt uitgevoerd en welke principes ten grondslag liggen aan stemgedrag bij aandeelhoudersvergaderingen. Door deze uitgebreide beleidskaders worden beleggers en stakeholders inzicht geboden in de wijze waarop ESG-factoren worden geïmplementeerd en gemonitord, en wordt de geloofwaardigheid van </w:t>
      </w:r>
      <w:proofErr w:type="spellStart"/>
      <w:r w:rsidRPr="00C520C3">
        <w:t>Amundi</w:t>
      </w:r>
      <w:proofErr w:type="spellEnd"/>
      <w:r w:rsidRPr="00C520C3">
        <w:t xml:space="preserve"> als verantwoordelijke vermogensbeheerder versterkt.</w:t>
      </w:r>
    </w:p>
    <w:p w14:paraId="38E9A2D9" w14:textId="77777777" w:rsidR="00EE37EA" w:rsidRPr="00C520C3" w:rsidRDefault="00EE37EA" w:rsidP="00EE37EA">
      <w:r w:rsidRPr="00C520C3">
        <w:t xml:space="preserve">Kortom, het duurzaamheidsbeleid van </w:t>
      </w:r>
      <w:proofErr w:type="spellStart"/>
      <w:r w:rsidRPr="00C520C3">
        <w:t>Amundi</w:t>
      </w:r>
      <w:proofErr w:type="spellEnd"/>
      <w:r w:rsidRPr="00C520C3">
        <w:t xml:space="preserve"> is omvattend, transparant en structureel geïntegreerd, met duidelijke doelstellingen, interne controlemechanismen en beleidsdocumenten die beleggers informeren over de uitvoering van ESG-principes in alle activiteiten. Deze brede, strategische aanpak is de reden dat </w:t>
      </w:r>
      <w:proofErr w:type="spellStart"/>
      <w:r w:rsidRPr="00C520C3">
        <w:t>Amundi</w:t>
      </w:r>
      <w:proofErr w:type="spellEnd"/>
      <w:r w:rsidRPr="00C520C3">
        <w:t xml:space="preserve"> een hoge score krijgt op het criterium duurzaamheidsbeleid.</w:t>
      </w:r>
    </w:p>
    <w:p w14:paraId="761922F0" w14:textId="77777777" w:rsidR="00EE37EA" w:rsidRPr="00C520C3" w:rsidRDefault="00EE37EA" w:rsidP="00EE37EA">
      <w:r w:rsidRPr="00C520C3">
        <w:br/>
        <w:t xml:space="preserve">→ Hierop is een score van </w:t>
      </w:r>
      <w:r w:rsidRPr="00C520C3">
        <w:rPr>
          <w:b/>
          <w:bCs/>
        </w:rPr>
        <w:t xml:space="preserve">8 </w:t>
      </w:r>
      <w:r w:rsidRPr="00C520C3">
        <w:t>gebaseerd.</w:t>
      </w:r>
    </w:p>
    <w:p w14:paraId="3D5E55A9" w14:textId="77777777" w:rsidR="00EE37EA" w:rsidRPr="00C520C3" w:rsidRDefault="00EE37EA" w:rsidP="00EE37EA"/>
    <w:p w14:paraId="670913A0" w14:textId="77777777" w:rsidR="00EE37EA" w:rsidRPr="00C520C3" w:rsidRDefault="00EE37EA" w:rsidP="00EE37EA">
      <w:pPr>
        <w:rPr>
          <w:b/>
          <w:bCs/>
        </w:rPr>
      </w:pPr>
      <w:proofErr w:type="spellStart"/>
      <w:r w:rsidRPr="00C520C3">
        <w:rPr>
          <w:b/>
          <w:bCs/>
        </w:rPr>
        <w:t>Governance</w:t>
      </w:r>
      <w:proofErr w:type="spellEnd"/>
      <w:r w:rsidRPr="00C520C3">
        <w:rPr>
          <w:b/>
          <w:bCs/>
        </w:rPr>
        <w:t xml:space="preserve"> (8/10)</w:t>
      </w:r>
    </w:p>
    <w:p w14:paraId="6242DC28" w14:textId="77777777" w:rsidR="00EE37EA" w:rsidRPr="00C520C3" w:rsidRDefault="00EE37EA" w:rsidP="00EE37EA">
      <w:r w:rsidRPr="00C520C3">
        <w:br/>
      </w:r>
      <w:proofErr w:type="spellStart"/>
      <w:r w:rsidRPr="00C520C3">
        <w:t>Amundi</w:t>
      </w:r>
      <w:proofErr w:type="spellEnd"/>
      <w:r w:rsidRPr="00C520C3">
        <w:t xml:space="preserve"> beschikt over een formele en goed gestructureerde bestuursorganisatie die is ontworpen om zowel operationele efficiëntie als verantwoording richting aandeelhouders en klanten te waarborgen. Centraal staat de Raad van Bestuur, die verantwoordelijk is voor de strategische koers van het bedrijf, het toezicht op risicomanagement en het waarborgen van naleving van interne en externe regelgeving. Ter ondersteuning van de Raad van Bestuur zijn verschillende gespecialiseerde commissies ingesteld, waaronder de auditcommissie, die toezicht houdt op financiële rapportages en interne controles; de beloningscommissie, die verantwoordelijk is voor het vaststellen van compensatiestructuren en de koppeling van beloningen aan prestatie-indicatoren; en de benoemingscommissie, die zorgt voor een transparant en zorgvuldig proces bij het aantrekken en benoemen van topmanagement en andere sleutelposities binnen de organisatie.</w:t>
      </w:r>
    </w:p>
    <w:p w14:paraId="3A04CE1D" w14:textId="77777777" w:rsidR="00EE37EA" w:rsidRPr="00C520C3" w:rsidRDefault="00EE37EA" w:rsidP="00EE37EA">
      <w:r w:rsidRPr="00C520C3">
        <w:t xml:space="preserve">Een belangrijk aspect van </w:t>
      </w:r>
      <w:proofErr w:type="spellStart"/>
      <w:r w:rsidRPr="00C520C3">
        <w:t>Amundi’s</w:t>
      </w:r>
      <w:proofErr w:type="spellEnd"/>
      <w:r w:rsidRPr="00C520C3">
        <w:t xml:space="preserve"> </w:t>
      </w:r>
      <w:proofErr w:type="spellStart"/>
      <w:r w:rsidRPr="00C520C3">
        <w:t>governance</w:t>
      </w:r>
      <w:proofErr w:type="spellEnd"/>
      <w:r w:rsidRPr="00C520C3">
        <w:t xml:space="preserve"> is de transparantie van de beloningsstructuur. Het beloningsbeleid combineert een vaste component met variabele componenten die direct gekoppeld zijn aan prestaties op zowel financieel als duurzaamheidsgebied. Zo worden ESG</w:t>
      </w:r>
      <w:r w:rsidRPr="00C520C3">
        <w:noBreakHyphen/>
        <w:t xml:space="preserve">doelstellingen expliciet meegenomen in de beoordeling van prestaties van management en relevante teams. Deze aanpak stimuleert dat beslissingen binnen het bedrijf niet alleen financieel worden gemotiveerd, maar ook rekening houden met milieu-, sociale en </w:t>
      </w:r>
      <w:proofErr w:type="spellStart"/>
      <w:r w:rsidRPr="00C520C3">
        <w:t>governancefactoren</w:t>
      </w:r>
      <w:proofErr w:type="spellEnd"/>
      <w:r w:rsidRPr="00C520C3">
        <w:t>, wat bijdraagt aan een lange-termijn duurzame strategie.</w:t>
      </w:r>
    </w:p>
    <w:p w14:paraId="6563F15F" w14:textId="77777777" w:rsidR="00EE37EA" w:rsidRPr="00C520C3" w:rsidRDefault="00EE37EA" w:rsidP="00EE37EA">
      <w:r w:rsidRPr="00C520C3">
        <w:t xml:space="preserve">Daarnaast rapporteert </w:t>
      </w:r>
      <w:proofErr w:type="spellStart"/>
      <w:r w:rsidRPr="00C520C3">
        <w:t>Amundi</w:t>
      </w:r>
      <w:proofErr w:type="spellEnd"/>
      <w:r w:rsidRPr="00C520C3">
        <w:t xml:space="preserve"> open over de rol van de commissies en de mate waarin ESG</w:t>
      </w:r>
      <w:r w:rsidRPr="00C520C3">
        <w:noBreakHyphen/>
        <w:t xml:space="preserve">criteria zijn geïntegreerd in investerings- en managementprocessen. Dit gebeurt via jaarlijks gepubliceerde documenten, beleidsnota’s en </w:t>
      </w:r>
      <w:proofErr w:type="spellStart"/>
      <w:r w:rsidRPr="00C520C3">
        <w:t>stewardship</w:t>
      </w:r>
      <w:proofErr w:type="spellEnd"/>
      <w:r w:rsidRPr="00C520C3">
        <w:t>-rapportages. Door deze combinatie van duidelijke structuur, integratie van duurzaamheid in beloningen en open communicatie richting stakeholders, wordt een solide fundament gelegd voor verantwoord bestuur en vertrouwen bij klanten en aandeelhouders.</w:t>
      </w:r>
    </w:p>
    <w:p w14:paraId="462FA440" w14:textId="77777777" w:rsidR="00EE37EA" w:rsidRPr="00C520C3" w:rsidRDefault="00EE37EA" w:rsidP="00EE37EA">
      <w:r w:rsidRPr="00C520C3">
        <w:br/>
        <w:t xml:space="preserve">→ Score </w:t>
      </w:r>
      <w:r w:rsidRPr="00C520C3">
        <w:rPr>
          <w:b/>
          <w:bCs/>
        </w:rPr>
        <w:t>8</w:t>
      </w:r>
      <w:r w:rsidRPr="00C520C3">
        <w:t>.</w:t>
      </w:r>
    </w:p>
    <w:p w14:paraId="2CBD03D1" w14:textId="77777777" w:rsidR="00EE37EA" w:rsidRPr="00C520C3" w:rsidRDefault="00EE37EA" w:rsidP="00EE37EA"/>
    <w:p w14:paraId="6A483739" w14:textId="77777777" w:rsidR="00EE37EA" w:rsidRPr="00C520C3" w:rsidRDefault="00EE37EA" w:rsidP="00EE37EA">
      <w:pPr>
        <w:rPr>
          <w:b/>
          <w:bCs/>
        </w:rPr>
      </w:pPr>
    </w:p>
    <w:p w14:paraId="6F7B7ECA" w14:textId="77777777" w:rsidR="00EE37EA" w:rsidRPr="00C520C3" w:rsidRDefault="00EE37EA" w:rsidP="00EE37EA">
      <w:r w:rsidRPr="00C520C3">
        <w:rPr>
          <w:b/>
          <w:bCs/>
        </w:rPr>
        <w:t>Bad Press (5/10)</w:t>
      </w:r>
      <w:r w:rsidRPr="00C520C3">
        <w:br/>
      </w:r>
    </w:p>
    <w:p w14:paraId="6FBBF99A" w14:textId="77777777" w:rsidR="00EE37EA" w:rsidRPr="00C520C3" w:rsidRDefault="00EE37EA" w:rsidP="00EE37EA">
      <w:r w:rsidRPr="00C520C3">
        <w:t xml:space="preserve">Hoewel </w:t>
      </w:r>
      <w:proofErr w:type="spellStart"/>
      <w:r w:rsidRPr="00C520C3">
        <w:t>Amundi</w:t>
      </w:r>
      <w:proofErr w:type="spellEnd"/>
      <w:r w:rsidRPr="00C520C3">
        <w:t xml:space="preserve"> over het algemeen goed scoort, is er reputatieschade geweest: de Franse toezichthouder Autorité des </w:t>
      </w:r>
      <w:proofErr w:type="spellStart"/>
      <w:r w:rsidRPr="00C520C3">
        <w:t>marchés</w:t>
      </w:r>
      <w:proofErr w:type="spellEnd"/>
      <w:r w:rsidRPr="00C520C3">
        <w:t xml:space="preserve"> financiers (AMF) legde in 2021 een boete op vanwege handelspraktijken. Hoewel dit geen direct ESG</w:t>
      </w:r>
      <w:r w:rsidRPr="00C520C3">
        <w:noBreakHyphen/>
        <w:t xml:space="preserve">schandaal betrof, geraakt het wel het vertrouwen. </w:t>
      </w:r>
      <w:proofErr w:type="spellStart"/>
      <w:r w:rsidRPr="00C520C3">
        <w:t>Amundi</w:t>
      </w:r>
      <w:proofErr w:type="spellEnd"/>
      <w:r w:rsidRPr="00C520C3">
        <w:t xml:space="preserve"> heeft sindsdien aangekondigd interne controles en transparantie</w:t>
      </w:r>
      <w:r w:rsidRPr="00C520C3">
        <w:softHyphen/>
        <w:t>mechanismen te versterken. Bijvoorbeeld via toezichtrapporten</w:t>
      </w:r>
    </w:p>
    <w:p w14:paraId="19636A48" w14:textId="77777777" w:rsidR="00EE37EA" w:rsidRPr="00C520C3" w:rsidRDefault="00EE37EA" w:rsidP="00EE37EA">
      <w:pPr>
        <w:rPr>
          <w:b/>
          <w:bCs/>
        </w:rPr>
      </w:pPr>
      <w:r w:rsidRPr="00C520C3">
        <w:t xml:space="preserve"> → Score </w:t>
      </w:r>
      <w:r w:rsidRPr="00C520C3">
        <w:rPr>
          <w:b/>
          <w:bCs/>
        </w:rPr>
        <w:t>5</w:t>
      </w:r>
      <w:r w:rsidRPr="00C520C3">
        <w:t>.</w:t>
      </w:r>
    </w:p>
    <w:p w14:paraId="15F0FDD6" w14:textId="77777777" w:rsidR="00EE37EA" w:rsidRPr="00C520C3" w:rsidRDefault="00EE37EA" w:rsidP="00EE37EA">
      <w:r w:rsidRPr="00C520C3">
        <w:rPr>
          <w:b/>
          <w:bCs/>
        </w:rPr>
        <w:t>Totaalscore (weging 40%/40%/20%)</w:t>
      </w:r>
      <w:r w:rsidRPr="00C520C3">
        <w:t>:</w:t>
      </w:r>
      <w:r w:rsidRPr="00C520C3">
        <w:br/>
        <w:t>(8</w:t>
      </w:r>
      <w:r w:rsidRPr="00C520C3">
        <w:rPr>
          <w:rFonts w:ascii="Arial" w:hAnsi="Arial" w:cs="Arial"/>
        </w:rPr>
        <w:t> </w:t>
      </w:r>
      <w:r w:rsidRPr="00C520C3">
        <w:rPr>
          <w:rFonts w:ascii="Aptos" w:hAnsi="Aptos" w:cs="Aptos"/>
        </w:rPr>
        <w:t>×</w:t>
      </w:r>
      <w:r w:rsidRPr="00C520C3">
        <w:rPr>
          <w:rFonts w:ascii="Arial" w:hAnsi="Arial" w:cs="Arial"/>
        </w:rPr>
        <w:t> </w:t>
      </w:r>
      <w:r w:rsidRPr="00C520C3">
        <w:t>0.40) + (8</w:t>
      </w:r>
      <w:r w:rsidRPr="00C520C3">
        <w:rPr>
          <w:rFonts w:ascii="Arial" w:hAnsi="Arial" w:cs="Arial"/>
        </w:rPr>
        <w:t> </w:t>
      </w:r>
      <w:r w:rsidRPr="00C520C3">
        <w:rPr>
          <w:rFonts w:ascii="Aptos" w:hAnsi="Aptos" w:cs="Aptos"/>
        </w:rPr>
        <w:t>×</w:t>
      </w:r>
      <w:r w:rsidRPr="00C520C3">
        <w:rPr>
          <w:rFonts w:ascii="Arial" w:hAnsi="Arial" w:cs="Arial"/>
        </w:rPr>
        <w:t> </w:t>
      </w:r>
      <w:r w:rsidRPr="00C520C3">
        <w:t>0.40) + (5</w:t>
      </w:r>
      <w:r w:rsidRPr="00C520C3">
        <w:rPr>
          <w:rFonts w:ascii="Arial" w:hAnsi="Arial" w:cs="Arial"/>
        </w:rPr>
        <w:t> </w:t>
      </w:r>
      <w:r w:rsidRPr="00C520C3">
        <w:rPr>
          <w:rFonts w:ascii="Aptos" w:hAnsi="Aptos" w:cs="Aptos"/>
        </w:rPr>
        <w:t>×</w:t>
      </w:r>
      <w:r w:rsidRPr="00C520C3">
        <w:rPr>
          <w:rFonts w:ascii="Arial" w:hAnsi="Arial" w:cs="Arial"/>
        </w:rPr>
        <w:t> </w:t>
      </w:r>
      <w:r w:rsidRPr="00C520C3">
        <w:t>0.20) = 3.2</w:t>
      </w:r>
      <w:r w:rsidRPr="00C520C3">
        <w:rPr>
          <w:rFonts w:ascii="Arial" w:hAnsi="Arial" w:cs="Arial"/>
        </w:rPr>
        <w:t> </w:t>
      </w:r>
      <w:r w:rsidRPr="00C520C3">
        <w:t>+</w:t>
      </w:r>
      <w:r w:rsidRPr="00C520C3">
        <w:rPr>
          <w:rFonts w:ascii="Arial" w:hAnsi="Arial" w:cs="Arial"/>
        </w:rPr>
        <w:t> </w:t>
      </w:r>
      <w:r w:rsidRPr="00C520C3">
        <w:t>3.2</w:t>
      </w:r>
      <w:r w:rsidRPr="00C520C3">
        <w:rPr>
          <w:rFonts w:ascii="Arial" w:hAnsi="Arial" w:cs="Arial"/>
        </w:rPr>
        <w:t> </w:t>
      </w:r>
      <w:r w:rsidRPr="00C520C3">
        <w:t>+</w:t>
      </w:r>
      <w:r w:rsidRPr="00C520C3">
        <w:rPr>
          <w:rFonts w:ascii="Arial" w:hAnsi="Arial" w:cs="Arial"/>
        </w:rPr>
        <w:t> </w:t>
      </w:r>
      <w:r w:rsidRPr="00C520C3">
        <w:t xml:space="preserve">1.0 = </w:t>
      </w:r>
      <w:r w:rsidRPr="00C520C3">
        <w:rPr>
          <w:b/>
          <w:bCs/>
        </w:rPr>
        <w:t>7.4</w:t>
      </w:r>
    </w:p>
    <w:p w14:paraId="5946BEA0" w14:textId="77777777" w:rsidR="00EE37EA" w:rsidRPr="00C520C3" w:rsidRDefault="00EE37EA" w:rsidP="00EE37EA">
      <w:r w:rsidRPr="00C520C3">
        <w:rPr>
          <w:b/>
          <w:bCs/>
        </w:rPr>
        <w:t>Bronnen:</w:t>
      </w:r>
    </w:p>
    <w:p w14:paraId="0A0BEFB2" w14:textId="77777777" w:rsidR="00EE37EA" w:rsidRPr="00EE37EA" w:rsidRDefault="00EE37EA" w:rsidP="00E1671C">
      <w:pPr>
        <w:numPr>
          <w:ilvl w:val="0"/>
          <w:numId w:val="11"/>
        </w:numPr>
        <w:spacing w:line="259" w:lineRule="auto"/>
        <w:rPr>
          <w:lang w:val="en-US"/>
        </w:rPr>
      </w:pPr>
      <w:r w:rsidRPr="00EE37EA">
        <w:rPr>
          <w:lang w:val="en-US"/>
        </w:rPr>
        <w:t xml:space="preserve">“Our ESG Approach” – Amundi: </w:t>
      </w:r>
      <w:hyperlink r:id="rId8" w:history="1">
        <w:r w:rsidRPr="00EE37EA">
          <w:rPr>
            <w:rStyle w:val="Hyperlink"/>
            <w:lang w:val="en-US"/>
          </w:rPr>
          <w:t>https://about.amundi.com/files/nuxeo/dl/c44a7bb2-813b-4346-96e0-e3d695241d9b</w:t>
        </w:r>
      </w:hyperlink>
    </w:p>
    <w:p w14:paraId="06F744E7" w14:textId="77777777" w:rsidR="00EE37EA" w:rsidRPr="00EE37EA" w:rsidRDefault="00EE37EA" w:rsidP="00E1671C">
      <w:pPr>
        <w:numPr>
          <w:ilvl w:val="0"/>
          <w:numId w:val="11"/>
        </w:numPr>
        <w:spacing w:line="259" w:lineRule="auto"/>
        <w:rPr>
          <w:lang w:val="en-US"/>
        </w:rPr>
      </w:pPr>
      <w:r w:rsidRPr="00EE37EA">
        <w:rPr>
          <w:lang w:val="en-US"/>
        </w:rPr>
        <w:t xml:space="preserve">Global Responsible Investment Policy – Amundi: </w:t>
      </w:r>
      <w:hyperlink r:id="rId9" w:history="1">
        <w:r w:rsidRPr="00EE37EA">
          <w:rPr>
            <w:rStyle w:val="Hyperlink"/>
            <w:lang w:val="en-US"/>
          </w:rPr>
          <w:t>https://impact-investor.com/fd-asn-impact-investors-sells-all-investments-in-clothing-companies/</w:t>
        </w:r>
      </w:hyperlink>
      <w:r w:rsidRPr="00EE37EA">
        <w:rPr>
          <w:lang w:val="en-US"/>
        </w:rPr>
        <w:t xml:space="preserve"> </w:t>
      </w:r>
    </w:p>
    <w:p w14:paraId="571AFF19" w14:textId="77777777" w:rsidR="00EE37EA" w:rsidRPr="00EE37EA" w:rsidRDefault="00EE37EA" w:rsidP="00E1671C">
      <w:pPr>
        <w:numPr>
          <w:ilvl w:val="0"/>
          <w:numId w:val="11"/>
        </w:numPr>
        <w:spacing w:line="259" w:lineRule="auto"/>
        <w:rPr>
          <w:lang w:val="en-US"/>
        </w:rPr>
      </w:pPr>
      <w:r w:rsidRPr="00EE37EA">
        <w:rPr>
          <w:lang w:val="en-US"/>
        </w:rPr>
        <w:t xml:space="preserve">Bad press – </w:t>
      </w:r>
      <w:hyperlink r:id="rId10" w:history="1">
        <w:r w:rsidRPr="00EE37EA">
          <w:rPr>
            <w:rStyle w:val="Hyperlink"/>
            <w:lang w:val="en-US"/>
          </w:rPr>
          <w:t xml:space="preserve">Bad press </w:t>
        </w:r>
        <w:proofErr w:type="spellStart"/>
        <w:r w:rsidRPr="00EE37EA">
          <w:rPr>
            <w:rStyle w:val="Hyperlink"/>
            <w:lang w:val="en-US"/>
          </w:rPr>
          <w:t>artikel</w:t>
        </w:r>
        <w:proofErr w:type="spellEnd"/>
        <w:r w:rsidRPr="00EE37EA">
          <w:rPr>
            <w:rStyle w:val="Hyperlink"/>
            <w:lang w:val="en-US"/>
          </w:rPr>
          <w:t xml:space="preserve"> Amundi</w:t>
        </w:r>
      </w:hyperlink>
    </w:p>
    <w:p w14:paraId="41B9503A" w14:textId="77777777" w:rsidR="00EE37EA" w:rsidRPr="00EE37EA" w:rsidRDefault="00EE37EA" w:rsidP="00EE37EA">
      <w:pPr>
        <w:rPr>
          <w:lang w:val="en-US"/>
        </w:rPr>
      </w:pPr>
    </w:p>
    <w:p w14:paraId="7D479B5B" w14:textId="77777777" w:rsidR="00EE37EA" w:rsidRPr="00EE37EA" w:rsidRDefault="00EE37EA" w:rsidP="00EE37EA">
      <w:pPr>
        <w:rPr>
          <w:b/>
          <w:bCs/>
          <w:sz w:val="30"/>
          <w:szCs w:val="30"/>
          <w:lang w:val="en-US"/>
        </w:rPr>
      </w:pPr>
    </w:p>
    <w:p w14:paraId="3F1FED8A" w14:textId="77777777" w:rsidR="00EE37EA" w:rsidRPr="00EE37EA" w:rsidRDefault="00EE37EA" w:rsidP="00EE37EA">
      <w:pPr>
        <w:pStyle w:val="Heading2"/>
        <w:rPr>
          <w:lang w:val="en-US"/>
        </w:rPr>
      </w:pPr>
    </w:p>
    <w:p w14:paraId="46E8AE29" w14:textId="77777777" w:rsidR="00EE37EA" w:rsidRPr="00EE37EA" w:rsidRDefault="00EE37EA" w:rsidP="00EE37EA">
      <w:pPr>
        <w:pStyle w:val="Heading2"/>
        <w:rPr>
          <w:lang w:val="en-US"/>
        </w:rPr>
      </w:pPr>
    </w:p>
    <w:p w14:paraId="676E2B5E" w14:textId="77777777" w:rsidR="00EE37EA" w:rsidRPr="00EE37EA" w:rsidRDefault="00EE37EA" w:rsidP="00EE37EA">
      <w:pPr>
        <w:pStyle w:val="Heading2"/>
        <w:rPr>
          <w:lang w:val="en-US"/>
        </w:rPr>
      </w:pPr>
    </w:p>
    <w:p w14:paraId="08829223" w14:textId="77777777" w:rsidR="00EE37EA" w:rsidRPr="00EE37EA" w:rsidRDefault="00EE37EA" w:rsidP="00EE37EA">
      <w:pPr>
        <w:pStyle w:val="Heading2"/>
        <w:rPr>
          <w:lang w:val="en-US"/>
        </w:rPr>
      </w:pPr>
    </w:p>
    <w:p w14:paraId="142D0C27" w14:textId="77777777" w:rsidR="00EE37EA" w:rsidRPr="00EE37EA" w:rsidRDefault="00EE37EA" w:rsidP="00EE37EA">
      <w:pPr>
        <w:pStyle w:val="Heading2"/>
        <w:rPr>
          <w:lang w:val="en-US"/>
        </w:rPr>
      </w:pPr>
    </w:p>
    <w:p w14:paraId="1F37F9EE" w14:textId="77777777" w:rsidR="00EE37EA" w:rsidRPr="00EE37EA" w:rsidRDefault="00EE37EA" w:rsidP="00EE37EA">
      <w:pPr>
        <w:pStyle w:val="Heading2"/>
        <w:rPr>
          <w:lang w:val="en-US"/>
        </w:rPr>
      </w:pPr>
    </w:p>
    <w:p w14:paraId="417BD70F" w14:textId="77777777" w:rsidR="00EE37EA" w:rsidRPr="00EE37EA" w:rsidRDefault="00EE37EA" w:rsidP="00EE37EA">
      <w:pPr>
        <w:pStyle w:val="Heading2"/>
        <w:rPr>
          <w:lang w:val="en-US"/>
        </w:rPr>
      </w:pPr>
    </w:p>
    <w:p w14:paraId="46F62BBF" w14:textId="77777777" w:rsidR="00EE37EA" w:rsidRPr="00EE37EA" w:rsidRDefault="00EE37EA" w:rsidP="00EE37EA">
      <w:pPr>
        <w:pStyle w:val="Heading2"/>
        <w:rPr>
          <w:lang w:val="en-US"/>
        </w:rPr>
      </w:pPr>
    </w:p>
    <w:p w14:paraId="6CF91B4C" w14:textId="77777777" w:rsidR="00EE37EA" w:rsidRPr="00EE37EA" w:rsidRDefault="00EE37EA" w:rsidP="00EE37EA">
      <w:pPr>
        <w:pStyle w:val="Heading2"/>
        <w:rPr>
          <w:lang w:val="en-US"/>
        </w:rPr>
      </w:pPr>
    </w:p>
    <w:p w14:paraId="2B991571" w14:textId="77777777" w:rsidR="00EE37EA" w:rsidRPr="00EE37EA" w:rsidRDefault="00EE37EA" w:rsidP="00EE37EA">
      <w:pPr>
        <w:pStyle w:val="Heading2"/>
        <w:rPr>
          <w:lang w:val="en-US"/>
        </w:rPr>
      </w:pPr>
    </w:p>
    <w:p w14:paraId="2AD85A02" w14:textId="77777777" w:rsidR="00EE37EA" w:rsidRPr="00C520C3" w:rsidRDefault="4ECF2E88" w:rsidP="00EE37EA">
      <w:pPr>
        <w:pStyle w:val="Heading2"/>
      </w:pPr>
      <w:bookmarkStart w:id="5" w:name="_Toc215578223"/>
      <w:bookmarkStart w:id="6" w:name="_Toc1289514188"/>
      <w:r>
        <w:t>ASN Impact Investors</w:t>
      </w:r>
      <w:bookmarkEnd w:id="5"/>
      <w:bookmarkEnd w:id="6"/>
    </w:p>
    <w:p w14:paraId="4901BCEB" w14:textId="77777777" w:rsidR="00EE37EA" w:rsidRPr="00C520C3" w:rsidRDefault="00EE37EA" w:rsidP="00EE37EA">
      <w:r w:rsidRPr="00C520C3">
        <w:rPr>
          <w:b/>
          <w:bCs/>
        </w:rPr>
        <w:t>Duurzaamheidsbeleid (9/10)</w:t>
      </w:r>
      <w:r w:rsidRPr="00C520C3">
        <w:br/>
        <w:t xml:space="preserve">ASN Impact </w:t>
      </w:r>
      <w:proofErr w:type="spellStart"/>
      <w:r w:rsidRPr="00C520C3">
        <w:t>Investors</w:t>
      </w:r>
      <w:proofErr w:type="spellEnd"/>
      <w:r w:rsidRPr="00C520C3">
        <w:t xml:space="preserve"> staat bekend om haar duidelijke focus op impactbeleggen, waarbij het financiële rendement wordt gecombineerd met meetbare positieve effecten op mens, milieu en maatschappij. De organisatie heeft expliciete criteria opgesteld voor investeringen, met een sterke nadruk op klimaatverandering, biodiversiteit en mensenrechten. Deze criteria vormen de kern van het investeringsproces en zijn bedoeld om te garanderen dat elke belegging bijdraagt aan een duurzame en rechtvaardige samenleving.</w:t>
      </w:r>
    </w:p>
    <w:p w14:paraId="62B95411" w14:textId="77777777" w:rsidR="00EE37EA" w:rsidRPr="00C520C3" w:rsidRDefault="00EE37EA" w:rsidP="00EE37EA">
      <w:r w:rsidRPr="00C520C3">
        <w:t xml:space="preserve">In het Impact Report van het ASN Biodiversiteitsfonds wordt concreet gemaakt hoe deze impact tot stand komt. Zo laat het rapport zien dat elke geïnvesteerde euro ongeveer één vierkante meter natuurherstel beschermt of herstelt, waardoor de directe ecologische bijdrage van beleggingen inzichtelijk wordt gemaakt. Dit benadrukt dat ASN niet alleen theoretische duurzaamheidsdoelen hanteert, maar ook meetbare, tastbare effecten realiseert. </w:t>
      </w:r>
    </w:p>
    <w:p w14:paraId="7ADB0210" w14:textId="77777777" w:rsidR="00EE37EA" w:rsidRPr="00C520C3" w:rsidRDefault="00EE37EA" w:rsidP="00EE37EA">
      <w:r w:rsidRPr="00C520C3">
        <w:t xml:space="preserve">Daarnaast biedt ASN de </w:t>
      </w:r>
      <w:proofErr w:type="spellStart"/>
      <w:r w:rsidRPr="00C520C3">
        <w:t>Sustainability</w:t>
      </w:r>
      <w:proofErr w:type="spellEnd"/>
      <w:r w:rsidRPr="00C520C3">
        <w:t xml:space="preserve"> Criteria Guide, waarin de methodologie voor de selectie van investeringen uitgebreid wordt uitgelegd. Investeringsbeslissingen worden beoordeeld op drie pijlers: mensenrechten, klimaat en biodiversiteit. De gids beschrijft hoe ASN-bedrijven, projecten en instellingen screent en selecteert op basis van deze criteria, inclusief uitsluitingen en aanvullende voorwaarden. Deze systematische aanpak zorgt voor consistentie, transparantie en verifieerbare resultaten, wat essentieel is voor beleggers die waarde hechten aan verantwoord investeren. </w:t>
      </w:r>
    </w:p>
    <w:p w14:paraId="3EEB239D" w14:textId="77777777" w:rsidR="00EE37EA" w:rsidRPr="00C520C3" w:rsidRDefault="00EE37EA" w:rsidP="00EE37EA">
      <w:r w:rsidRPr="00C520C3">
        <w:t xml:space="preserve">Het beleid van ASN Impact </w:t>
      </w:r>
      <w:proofErr w:type="spellStart"/>
      <w:r w:rsidRPr="00C520C3">
        <w:t>Investors</w:t>
      </w:r>
      <w:proofErr w:type="spellEnd"/>
      <w:r w:rsidRPr="00C520C3">
        <w:t xml:space="preserve"> gaat verder dan alleen uitsluitingen en selectie. Er wordt actief engagement gepleegd met bedrijven om duurzaamheidsdoelen te bevorderen, en er wordt regelmatig rapportage gedaan aan beleggers over de behaalde impact. Ook neemt ASN proactieve beslissingen, zoals het volledig desinvesteren uit sectoren of bedrijven die onvoldoende presteren op het gebied van duurzaamheid en mensenrechten, bijvoorbeeld in de </w:t>
      </w:r>
      <w:proofErr w:type="spellStart"/>
      <w:r w:rsidRPr="00C520C3">
        <w:t>fast</w:t>
      </w:r>
      <w:proofErr w:type="spellEnd"/>
      <w:r w:rsidRPr="00C520C3">
        <w:t xml:space="preserve"> fashion industrie. </w:t>
      </w:r>
    </w:p>
    <w:p w14:paraId="5DC204FE" w14:textId="77777777" w:rsidR="00EE37EA" w:rsidRPr="00C520C3" w:rsidRDefault="00EE37EA" w:rsidP="00EE37EA">
      <w:r w:rsidRPr="00C520C3">
        <w:t xml:space="preserve">Kortom, ASN Impact </w:t>
      </w:r>
      <w:proofErr w:type="spellStart"/>
      <w:r w:rsidRPr="00C520C3">
        <w:t>Investors</w:t>
      </w:r>
      <w:proofErr w:type="spellEnd"/>
      <w:r w:rsidRPr="00C520C3">
        <w:t xml:space="preserve"> hanteert een zeer systematische en transparante ESG-strategie, met duidelijke meetbare resultaten, goed gedocumenteerde selectiecriteria en een actieve rol in het verbeteren van de duurzaamheidsprestaties van investeringsdoelen. Dit maakt ASN een sterke speler op het gebied van verantwoord en impactgericht beleggen, en rechtvaardigt de hoge score op het criterium duurzaamheidsbeleid.</w:t>
      </w:r>
    </w:p>
    <w:p w14:paraId="77465EA2" w14:textId="77777777" w:rsidR="00EE37EA" w:rsidRPr="00C520C3" w:rsidRDefault="00EE37EA" w:rsidP="00EE37EA">
      <w:r w:rsidRPr="00C520C3">
        <w:br/>
        <w:t xml:space="preserve">→ Score </w:t>
      </w:r>
      <w:r w:rsidRPr="00C520C3">
        <w:rPr>
          <w:b/>
          <w:bCs/>
        </w:rPr>
        <w:t>9</w:t>
      </w:r>
      <w:r w:rsidRPr="00C520C3">
        <w:t>.</w:t>
      </w:r>
    </w:p>
    <w:p w14:paraId="61A96F4D" w14:textId="77777777" w:rsidR="00EE37EA" w:rsidRPr="00C520C3" w:rsidRDefault="00EE37EA" w:rsidP="00EE37EA"/>
    <w:p w14:paraId="3C1FBFF4" w14:textId="77777777" w:rsidR="00EE37EA" w:rsidRPr="00C520C3" w:rsidRDefault="00EE37EA" w:rsidP="00EE37EA">
      <w:proofErr w:type="spellStart"/>
      <w:r w:rsidRPr="00C520C3">
        <w:rPr>
          <w:b/>
          <w:bCs/>
        </w:rPr>
        <w:t>Governance</w:t>
      </w:r>
      <w:proofErr w:type="spellEnd"/>
      <w:r w:rsidRPr="00C520C3">
        <w:rPr>
          <w:b/>
          <w:bCs/>
        </w:rPr>
        <w:t xml:space="preserve"> (8/10)</w:t>
      </w:r>
      <w:r w:rsidRPr="00C520C3">
        <w:br/>
        <w:t xml:space="preserve">ASN Impact </w:t>
      </w:r>
      <w:proofErr w:type="spellStart"/>
      <w:r w:rsidRPr="00C520C3">
        <w:t>Investors</w:t>
      </w:r>
      <w:proofErr w:type="spellEnd"/>
      <w:r w:rsidRPr="00C520C3">
        <w:t xml:space="preserve"> heeft een solide en transparante </w:t>
      </w:r>
      <w:proofErr w:type="spellStart"/>
      <w:r w:rsidRPr="00C520C3">
        <w:t>governance</w:t>
      </w:r>
      <w:proofErr w:type="spellEnd"/>
      <w:r w:rsidRPr="00C520C3">
        <w:t xml:space="preserve">-structuur die de basis vormt voor verantwoord en duurzaam fondsbeheer. De fondsen worden beheerd via de ASN Beleggingsinstellingen, een juridische en organisatorische structuur die duidelijke rollen en verantwoordelijkheden vastlegt voor bestuur, toezicht en uitvoering. Binnen deze structuur hanteert ASN een gedragscode voor Fund </w:t>
      </w:r>
      <w:proofErr w:type="spellStart"/>
      <w:r w:rsidRPr="00C520C3">
        <w:t>Governance</w:t>
      </w:r>
      <w:proofErr w:type="spellEnd"/>
      <w:r w:rsidRPr="00C520C3">
        <w:t>, waarin richtlijnen staan over besluitvormingsprocessen, risicobeheer, compliance en ethisch handelen. Deze code zorgt ervoor dat de belangen van beleggers centraal staan en dat het bestuur verantwoording aflegt over de keuzes en acties van het fonds.</w:t>
      </w:r>
    </w:p>
    <w:p w14:paraId="2913CB75" w14:textId="77777777" w:rsidR="00EE37EA" w:rsidRPr="00C520C3" w:rsidRDefault="00EE37EA" w:rsidP="00EE37EA">
      <w:r w:rsidRPr="00C520C3">
        <w:t xml:space="preserve">ASN legt sterk de nadruk op transparantie en communicatie richting investeerders. Dit blijkt uit regelmatige rapportages over duurzaamheidsonderzoek, impactmetingen en de voortgang van ESG-doelen. Investeerders krijgen inzicht in hoe investeringen worden geselecteerd, welke duurzame criteria worden gehanteerd, en welke acties worden ondernomen bij eventuele tekortkomingen van bedrijven of projecten. Bijvoorbeeld, ASN rapporteert duidelijk over uitsluitingen, engagement-activiteiten en beslissingen tot desinvestering in sectoren zoals </w:t>
      </w:r>
      <w:proofErr w:type="spellStart"/>
      <w:r w:rsidRPr="00C520C3">
        <w:t>fast</w:t>
      </w:r>
      <w:proofErr w:type="spellEnd"/>
      <w:r w:rsidRPr="00C520C3">
        <w:t xml:space="preserve"> fashion, als deze niet voldoen aan de duurzaamheidsdoelstellingen.</w:t>
      </w:r>
    </w:p>
    <w:p w14:paraId="77711CD8" w14:textId="77777777" w:rsidR="00EE37EA" w:rsidRPr="00C520C3" w:rsidRDefault="00EE37EA" w:rsidP="00EE37EA">
      <w:r w:rsidRPr="00C520C3">
        <w:t xml:space="preserve">Daarnaast wordt het bestuur ondersteund door een systematische monitoring van ESG-prestaties, waarbij zowel de uitvoering van het duurzaamheidsbeleid als de naleving van </w:t>
      </w:r>
      <w:proofErr w:type="spellStart"/>
      <w:r w:rsidRPr="00C520C3">
        <w:t>governanceprincipes</w:t>
      </w:r>
      <w:proofErr w:type="spellEnd"/>
      <w:r w:rsidRPr="00C520C3">
        <w:t xml:space="preserve"> nauwlettend wordt gevolgd. Dit omvat interne evaluaties, audits en beoordelingen van externe experts. Door deze combinatie van een duidelijk gereguleerd </w:t>
      </w:r>
      <w:proofErr w:type="spellStart"/>
      <w:r w:rsidRPr="00C520C3">
        <w:t>bestuurskader</w:t>
      </w:r>
      <w:proofErr w:type="spellEnd"/>
      <w:r w:rsidRPr="00C520C3">
        <w:t>, een expliciete gedragscode en open communicatie, weet ASN een hoge mate van vertrouwen en consistentie in het beheer van hun fondsen te waarborgen.</w:t>
      </w:r>
    </w:p>
    <w:p w14:paraId="496C8666" w14:textId="77777777" w:rsidR="00EE37EA" w:rsidRPr="00C520C3" w:rsidRDefault="00EE37EA" w:rsidP="00EE37EA">
      <w:r w:rsidRPr="00C520C3">
        <w:t xml:space="preserve">Kortom, ASN Impact </w:t>
      </w:r>
      <w:proofErr w:type="spellStart"/>
      <w:r w:rsidRPr="00C520C3">
        <w:t>Investors</w:t>
      </w:r>
      <w:proofErr w:type="spellEnd"/>
      <w:r w:rsidRPr="00C520C3">
        <w:t xml:space="preserve"> combineert een professioneel bestuursmodel met een sterke focus op ESG-transparantie, waardoor beleggers zekerheid hebben dat hun fondsen niet alleen financieel maar ook maatschappelijk verantwoord worden beheerd.</w:t>
      </w:r>
    </w:p>
    <w:p w14:paraId="636CE1AD" w14:textId="77777777" w:rsidR="00EE37EA" w:rsidRPr="00C520C3" w:rsidRDefault="00EE37EA" w:rsidP="00EE37EA">
      <w:r w:rsidRPr="00C520C3">
        <w:br/>
        <w:t>→ Score 8.</w:t>
      </w:r>
    </w:p>
    <w:p w14:paraId="631A95E4" w14:textId="77777777" w:rsidR="00EE37EA" w:rsidRPr="00C520C3" w:rsidRDefault="00EE37EA" w:rsidP="00EE37EA"/>
    <w:p w14:paraId="0DF54930" w14:textId="77777777" w:rsidR="00EE37EA" w:rsidRPr="00C520C3" w:rsidRDefault="00EE37EA" w:rsidP="00EE37EA">
      <w:r w:rsidRPr="00C520C3">
        <w:rPr>
          <w:b/>
          <w:bCs/>
        </w:rPr>
        <w:t>Bad Press (8/10)</w:t>
      </w:r>
      <w:r w:rsidRPr="00C520C3">
        <w:br/>
        <w:t>Er is geen grote negatieve reputatie</w:t>
      </w:r>
      <w:r w:rsidRPr="00C520C3">
        <w:softHyphen/>
        <w:t xml:space="preserve">kwestie gevonden. Sterker nog: ASN heeft stappen gezet zoals het volledig desinvesteren uit de </w:t>
      </w:r>
      <w:proofErr w:type="spellStart"/>
      <w:r w:rsidRPr="00C520C3">
        <w:t>fast</w:t>
      </w:r>
      <w:proofErr w:type="spellEnd"/>
      <w:r w:rsidRPr="00C520C3">
        <w:t xml:space="preserve"> fashion</w:t>
      </w:r>
      <w:r w:rsidRPr="00C520C3">
        <w:noBreakHyphen/>
        <w:t xml:space="preserve">industrie vanwege onvoldoende verbetering in duurzaamheid en mensenrechten. </w:t>
      </w:r>
      <w:r w:rsidRPr="00C520C3">
        <w:br/>
        <w:t xml:space="preserve">→ Score </w:t>
      </w:r>
      <w:r w:rsidRPr="00C520C3">
        <w:rPr>
          <w:b/>
          <w:bCs/>
        </w:rPr>
        <w:t>8</w:t>
      </w:r>
      <w:r w:rsidRPr="00C520C3">
        <w:t>.</w:t>
      </w:r>
    </w:p>
    <w:p w14:paraId="1605657F" w14:textId="77777777" w:rsidR="00EE37EA" w:rsidRPr="00C520C3" w:rsidRDefault="00EE37EA" w:rsidP="00EE37EA">
      <w:r w:rsidRPr="00C520C3">
        <w:rPr>
          <w:b/>
          <w:bCs/>
        </w:rPr>
        <w:t>Totaalscore (weging 40%/40%/20%)</w:t>
      </w:r>
      <w:r w:rsidRPr="00C520C3">
        <w:t>:</w:t>
      </w:r>
      <w:r w:rsidRPr="00C520C3">
        <w:br/>
        <w:t>(9</w:t>
      </w:r>
      <w:r w:rsidRPr="00C520C3">
        <w:rPr>
          <w:rFonts w:ascii="Arial" w:hAnsi="Arial" w:cs="Arial"/>
        </w:rPr>
        <w:t> </w:t>
      </w:r>
      <w:r w:rsidRPr="00C520C3">
        <w:rPr>
          <w:rFonts w:ascii="Aptos" w:hAnsi="Aptos" w:cs="Aptos"/>
        </w:rPr>
        <w:t>×</w:t>
      </w:r>
      <w:r w:rsidRPr="00C520C3">
        <w:rPr>
          <w:rFonts w:ascii="Arial" w:hAnsi="Arial" w:cs="Arial"/>
        </w:rPr>
        <w:t> </w:t>
      </w:r>
      <w:r w:rsidRPr="00C520C3">
        <w:t>0.40) + (8</w:t>
      </w:r>
      <w:r w:rsidRPr="00C520C3">
        <w:rPr>
          <w:rFonts w:ascii="Arial" w:hAnsi="Arial" w:cs="Arial"/>
        </w:rPr>
        <w:t> </w:t>
      </w:r>
      <w:r w:rsidRPr="00C520C3">
        <w:rPr>
          <w:rFonts w:ascii="Aptos" w:hAnsi="Aptos" w:cs="Aptos"/>
        </w:rPr>
        <w:t>×</w:t>
      </w:r>
      <w:r w:rsidRPr="00C520C3">
        <w:rPr>
          <w:rFonts w:ascii="Arial" w:hAnsi="Arial" w:cs="Arial"/>
        </w:rPr>
        <w:t> </w:t>
      </w:r>
      <w:r w:rsidRPr="00C520C3">
        <w:t>0.40) + (8</w:t>
      </w:r>
      <w:r w:rsidRPr="00C520C3">
        <w:rPr>
          <w:rFonts w:ascii="Arial" w:hAnsi="Arial" w:cs="Arial"/>
        </w:rPr>
        <w:t> </w:t>
      </w:r>
      <w:r w:rsidRPr="00C520C3">
        <w:rPr>
          <w:rFonts w:ascii="Aptos" w:hAnsi="Aptos" w:cs="Aptos"/>
        </w:rPr>
        <w:t>×</w:t>
      </w:r>
      <w:r w:rsidRPr="00C520C3">
        <w:rPr>
          <w:rFonts w:ascii="Arial" w:hAnsi="Arial" w:cs="Arial"/>
        </w:rPr>
        <w:t> </w:t>
      </w:r>
      <w:r w:rsidRPr="00C520C3">
        <w:t>0.20) = 3.6</w:t>
      </w:r>
      <w:r w:rsidRPr="00C520C3">
        <w:rPr>
          <w:rFonts w:ascii="Arial" w:hAnsi="Arial" w:cs="Arial"/>
        </w:rPr>
        <w:t> </w:t>
      </w:r>
      <w:r w:rsidRPr="00C520C3">
        <w:t>+</w:t>
      </w:r>
      <w:r w:rsidRPr="00C520C3">
        <w:rPr>
          <w:rFonts w:ascii="Arial" w:hAnsi="Arial" w:cs="Arial"/>
        </w:rPr>
        <w:t> </w:t>
      </w:r>
      <w:r w:rsidRPr="00C520C3">
        <w:t>3.2</w:t>
      </w:r>
      <w:r w:rsidRPr="00C520C3">
        <w:rPr>
          <w:rFonts w:ascii="Arial" w:hAnsi="Arial" w:cs="Arial"/>
        </w:rPr>
        <w:t> </w:t>
      </w:r>
      <w:r w:rsidRPr="00C520C3">
        <w:t>+</w:t>
      </w:r>
      <w:r w:rsidRPr="00C520C3">
        <w:rPr>
          <w:rFonts w:ascii="Arial" w:hAnsi="Arial" w:cs="Arial"/>
        </w:rPr>
        <w:t> </w:t>
      </w:r>
      <w:r w:rsidRPr="00C520C3">
        <w:t xml:space="preserve">1.6 = </w:t>
      </w:r>
      <w:r w:rsidRPr="00C520C3">
        <w:rPr>
          <w:b/>
          <w:bCs/>
        </w:rPr>
        <w:t>8.4</w:t>
      </w:r>
    </w:p>
    <w:p w14:paraId="68136F4F" w14:textId="77777777" w:rsidR="00EE37EA" w:rsidRPr="00C520C3" w:rsidRDefault="00EE37EA" w:rsidP="00EE37EA">
      <w:r w:rsidRPr="00C520C3">
        <w:rPr>
          <w:b/>
          <w:bCs/>
        </w:rPr>
        <w:t>Bronnen:</w:t>
      </w:r>
    </w:p>
    <w:p w14:paraId="4CA2100D" w14:textId="77777777" w:rsidR="00EE37EA" w:rsidRPr="00EE37EA" w:rsidRDefault="00EE37EA" w:rsidP="00E1671C">
      <w:pPr>
        <w:numPr>
          <w:ilvl w:val="0"/>
          <w:numId w:val="12"/>
        </w:numPr>
        <w:spacing w:line="259" w:lineRule="auto"/>
        <w:rPr>
          <w:lang w:val="en-US"/>
        </w:rPr>
      </w:pPr>
      <w:r w:rsidRPr="00EE37EA">
        <w:rPr>
          <w:lang w:val="en-US"/>
        </w:rPr>
        <w:t xml:space="preserve">Membership profile – ASN Impact Investors: </w:t>
      </w:r>
      <w:hyperlink r:id="rId11" w:history="1">
        <w:r w:rsidRPr="00EE37EA">
          <w:rPr>
            <w:rStyle w:val="Hyperlink"/>
            <w:lang w:val="en-US"/>
          </w:rPr>
          <w:t>https://thegiin.org/member/asn-impact-investors</w:t>
        </w:r>
      </w:hyperlink>
      <w:r w:rsidRPr="00EE37EA">
        <w:rPr>
          <w:lang w:val="en-US"/>
        </w:rPr>
        <w:t xml:space="preserve"> </w:t>
      </w:r>
    </w:p>
    <w:p w14:paraId="004EA136" w14:textId="77777777" w:rsidR="00EE37EA" w:rsidRPr="00EE37EA" w:rsidRDefault="00EE37EA" w:rsidP="00E1671C">
      <w:pPr>
        <w:numPr>
          <w:ilvl w:val="0"/>
          <w:numId w:val="12"/>
        </w:numPr>
        <w:spacing w:line="259" w:lineRule="auto"/>
        <w:rPr>
          <w:lang w:val="en-US"/>
        </w:rPr>
      </w:pPr>
      <w:r w:rsidRPr="00EE37EA">
        <w:rPr>
          <w:lang w:val="en-US"/>
        </w:rPr>
        <w:t xml:space="preserve">Impact Report/Measurement biodiversity – </w:t>
      </w:r>
      <w:hyperlink r:id="rId12" w:history="1">
        <w:r w:rsidRPr="00EE37EA">
          <w:rPr>
            <w:rStyle w:val="Hyperlink"/>
            <w:lang w:val="en-US"/>
          </w:rPr>
          <w:t>https://beleggingsfondsen.asnbank.nl/home-particulier/fondsen-particulier/asn-biodiversiteitsfonds/asn-impact-investors-is-the-first-asset-manager-worldwide-to-measure-positive-impact-on-biodiversity.html</w:t>
        </w:r>
      </w:hyperlink>
      <w:r w:rsidRPr="00EE37EA">
        <w:rPr>
          <w:lang w:val="en-US"/>
        </w:rPr>
        <w:t xml:space="preserve"> </w:t>
      </w:r>
    </w:p>
    <w:p w14:paraId="638B49F7" w14:textId="77777777" w:rsidR="00EE37EA" w:rsidRPr="00C520C3" w:rsidRDefault="00EE37EA" w:rsidP="00E1671C">
      <w:pPr>
        <w:numPr>
          <w:ilvl w:val="0"/>
          <w:numId w:val="12"/>
        </w:numPr>
        <w:spacing w:line="259" w:lineRule="auto"/>
      </w:pPr>
      <w:proofErr w:type="spellStart"/>
      <w:r w:rsidRPr="00C520C3">
        <w:t>Sustainability</w:t>
      </w:r>
      <w:proofErr w:type="spellEnd"/>
      <w:r w:rsidRPr="00C520C3">
        <w:t xml:space="preserve"> Criteria Guide – </w:t>
      </w:r>
      <w:hyperlink r:id="rId13" w:tgtFrame="_new" w:history="1">
        <w:r w:rsidRPr="00C520C3">
          <w:rPr>
            <w:rStyle w:val="Hyperlink"/>
          </w:rPr>
          <w:t>https://beleggingsfondsen.asnbank.nl/overig/downloads/asn-impact-investors-sustainability-criteria-guide.html</w:t>
        </w:r>
      </w:hyperlink>
      <w:r w:rsidRPr="00C520C3">
        <w:t xml:space="preserve"> </w:t>
      </w:r>
      <w:hyperlink r:id="rId14" w:tgtFrame="_blank" w:history="1">
        <w:r w:rsidRPr="00C520C3">
          <w:rPr>
            <w:rStyle w:val="Hyperlink"/>
          </w:rPr>
          <w:t>beleggingsfondsen.asnbank.nl</w:t>
        </w:r>
      </w:hyperlink>
    </w:p>
    <w:p w14:paraId="71A16F28" w14:textId="77777777" w:rsidR="00EE37EA" w:rsidRPr="00EE37EA" w:rsidRDefault="00EE37EA" w:rsidP="00E1671C">
      <w:pPr>
        <w:numPr>
          <w:ilvl w:val="0"/>
          <w:numId w:val="12"/>
        </w:numPr>
        <w:spacing w:line="259" w:lineRule="auto"/>
        <w:rPr>
          <w:lang w:val="en-US"/>
        </w:rPr>
      </w:pPr>
      <w:r w:rsidRPr="00EE37EA">
        <w:rPr>
          <w:lang w:val="en-US"/>
        </w:rPr>
        <w:t>Divestment fast fashion – https://www.manifest.co.uk/asn-impact-investors-divests-from-fast-fashion-companies</w:t>
      </w:r>
    </w:p>
    <w:p w14:paraId="5932455F" w14:textId="77777777" w:rsidR="00EE37EA" w:rsidRPr="00EE37EA" w:rsidRDefault="00EE37EA" w:rsidP="00EE37EA">
      <w:pPr>
        <w:ind w:left="720"/>
        <w:rPr>
          <w:lang w:val="en-US"/>
        </w:rPr>
      </w:pPr>
    </w:p>
    <w:p w14:paraId="789C2074" w14:textId="77777777" w:rsidR="00EE37EA" w:rsidRPr="00EE37EA" w:rsidRDefault="00EE37EA" w:rsidP="00EE37EA">
      <w:pPr>
        <w:rPr>
          <w:lang w:val="en-US"/>
        </w:rPr>
      </w:pPr>
    </w:p>
    <w:p w14:paraId="18960545" w14:textId="77777777" w:rsidR="00EE37EA" w:rsidRPr="00C520C3" w:rsidRDefault="4ECF2E88" w:rsidP="00EE37EA">
      <w:pPr>
        <w:pStyle w:val="Heading2"/>
      </w:pPr>
      <w:bookmarkStart w:id="7" w:name="_Toc215578224"/>
      <w:bookmarkStart w:id="8" w:name="_Toc2062237459"/>
      <w:r>
        <w:t>DWS Group</w:t>
      </w:r>
      <w:bookmarkEnd w:id="7"/>
      <w:bookmarkEnd w:id="8"/>
    </w:p>
    <w:p w14:paraId="4E54D6BF" w14:textId="77777777" w:rsidR="00EE37EA" w:rsidRPr="00C520C3" w:rsidRDefault="00EE37EA" w:rsidP="00EE37EA">
      <w:r w:rsidRPr="00C520C3">
        <w:rPr>
          <w:b/>
          <w:bCs/>
        </w:rPr>
        <w:t>Duurzaamheidsbeleid (6/10)</w:t>
      </w:r>
      <w:r w:rsidRPr="00C520C3">
        <w:br/>
      </w:r>
    </w:p>
    <w:p w14:paraId="27BF3D72" w14:textId="77777777" w:rsidR="00EE37EA" w:rsidRPr="00C520C3" w:rsidRDefault="00EE37EA" w:rsidP="00EE37EA">
      <w:r w:rsidRPr="00C520C3">
        <w:t>DWS Group biedt diverse beleggingsproducten aan die vallen onder de Europese SFDR-richtlijnen, voornamelijk Artikel</w:t>
      </w:r>
      <w:r w:rsidRPr="00C520C3">
        <w:rPr>
          <w:rFonts w:ascii="Arial" w:hAnsi="Arial" w:cs="Arial"/>
        </w:rPr>
        <w:t> </w:t>
      </w:r>
      <w:r w:rsidRPr="00C520C3">
        <w:t>8 en Artikel</w:t>
      </w:r>
      <w:r w:rsidRPr="00C520C3">
        <w:rPr>
          <w:rFonts w:ascii="Arial" w:hAnsi="Arial" w:cs="Arial"/>
        </w:rPr>
        <w:t> </w:t>
      </w:r>
      <w:r w:rsidRPr="00C520C3">
        <w:t xml:space="preserve">9, en publiceert hiervoor de vereiste </w:t>
      </w:r>
      <w:proofErr w:type="spellStart"/>
      <w:r w:rsidRPr="00C520C3">
        <w:t>disclosures</w:t>
      </w:r>
      <w:proofErr w:type="spellEnd"/>
      <w:r w:rsidRPr="00C520C3">
        <w:t xml:space="preserve"> over duurzaamheid en ESG-integratie. Deze producten zijn bedoeld om beleggers te voorzien van fondsen die expliciet duurzame of verantwoordelijke investeringscriteria volgen. Op papier lijkt DWS hiermee een breed scala aan ESG-gerichte producten te bieden, en de fondsen worden gepresenteerd als geschikt voor klanten die maatschappelijk verantwoorde beleggingen nastreven.</w:t>
      </w:r>
    </w:p>
    <w:p w14:paraId="6EA51301" w14:textId="77777777" w:rsidR="00EE37EA" w:rsidRPr="00C520C3" w:rsidRDefault="00EE37EA" w:rsidP="00EE37EA">
      <w:r w:rsidRPr="00C520C3">
        <w:t xml:space="preserve">In de praktijk is er echter kritiek op de implementatie van dit duurzaamheidsbeleid. Zo is DWS onderzocht door het Duitse openbaar ministerie wegens vermeende greenwashing van ongeveer €20 miljard aan fondsen. Dit onderzoek wees op inconsistenties tussen de gecommuniceerde ESG-doelstellingen van de fondsen en de daadwerkelijke toepassing van ESG-criteria in de beleggingsportefeuilles. Hierbij werd geconcludeerd dat sommige fondsen ten onrechte als duurzaam werden gepresenteerd, terwijl een aanzienlijk deel van de investeringen mogelijk niet voldeed aan de gestelde ESG-criteria. </w:t>
      </w:r>
    </w:p>
    <w:p w14:paraId="4DD71056" w14:textId="77777777" w:rsidR="00EE37EA" w:rsidRPr="00C520C3" w:rsidRDefault="00EE37EA" w:rsidP="00EE37EA">
      <w:r w:rsidRPr="00C520C3">
        <w:t xml:space="preserve">Dit incident benadrukt dat hoewel DWS formeel een beleid en </w:t>
      </w:r>
      <w:proofErr w:type="spellStart"/>
      <w:r w:rsidRPr="00C520C3">
        <w:t>disclosures</w:t>
      </w:r>
      <w:proofErr w:type="spellEnd"/>
      <w:r w:rsidRPr="00C520C3">
        <w:t xml:space="preserve"> voor duurzaam beleggen heeft, de effectieve implementatie en naleving nog verbeterd moet worden. Het laat zien dat een formeel ESG-raamwerk niet automatisch betekent dat alle processen en investeringen daadwerkelijk duurzaam of verantwoord zijn. Deze discrepantie tussen beleid en uitvoering is een belangrijke factor bij de beoordeling van DWS op het criterium duurzaamheidsbeleid.</w:t>
      </w:r>
    </w:p>
    <w:p w14:paraId="4E9AA090" w14:textId="77777777" w:rsidR="00EE37EA" w:rsidRPr="00C520C3" w:rsidRDefault="00EE37EA" w:rsidP="00EE37EA">
      <w:r w:rsidRPr="00C520C3">
        <w:t>Kortom, DWS Group heeft een formeel ESG-beleid en een breed productaanbod dat onder de SFDR valt, maar de recente kritiek en onderzoeken naar greenwashing laten zien dat de praktische toepassing van deze ESG-standaarden niet altijd consistent is. Daarom is de score op duurzaamheidsbeleid voor DWS gematigd en weerspiegelt dit de zorgen over de betrouwbaarheid en effectiviteit van hun duurzaamheidsclaims.</w:t>
      </w:r>
    </w:p>
    <w:p w14:paraId="1D0E8EAE" w14:textId="77777777" w:rsidR="00EE37EA" w:rsidRPr="00C520C3" w:rsidRDefault="00EE37EA" w:rsidP="00EE37EA">
      <w:r w:rsidRPr="00C520C3">
        <w:br/>
        <w:t xml:space="preserve">→ Score </w:t>
      </w:r>
      <w:r w:rsidRPr="00C520C3">
        <w:rPr>
          <w:b/>
          <w:bCs/>
        </w:rPr>
        <w:t>6</w:t>
      </w:r>
      <w:r w:rsidRPr="00C520C3">
        <w:t>.</w:t>
      </w:r>
    </w:p>
    <w:p w14:paraId="52845EEF" w14:textId="77777777" w:rsidR="00EE37EA" w:rsidRPr="00C520C3" w:rsidRDefault="00EE37EA" w:rsidP="00EE37EA">
      <w:proofErr w:type="spellStart"/>
      <w:r w:rsidRPr="00C520C3">
        <w:rPr>
          <w:b/>
          <w:bCs/>
        </w:rPr>
        <w:t>Governance</w:t>
      </w:r>
      <w:proofErr w:type="spellEnd"/>
      <w:r w:rsidRPr="00C520C3">
        <w:rPr>
          <w:b/>
          <w:bCs/>
        </w:rPr>
        <w:t xml:space="preserve"> (5/10)</w:t>
      </w:r>
      <w:r w:rsidRPr="00C520C3">
        <w:br/>
        <w:t xml:space="preserve">Hoewel DWS beschikt over een formele </w:t>
      </w:r>
      <w:proofErr w:type="spellStart"/>
      <w:r w:rsidRPr="00C520C3">
        <w:t>governance</w:t>
      </w:r>
      <w:proofErr w:type="spellEnd"/>
      <w:r w:rsidRPr="00C520C3">
        <w:t>-structuur, zijn er in de praktijk meerdere factoren die het vertrouwen in consistent en effectief bestuur aantasten. Het bedrijf heeft een Raad van Bestuur en diverse commissies voor audit, beloning en risicobeheer, zoals gebruikelijk bij grote vermogensbeheerders. Op papier lijkt dit een robuust kader dat toezicht, transparantie en verantwoordelijkheidsstructuren waarborgt.</w:t>
      </w:r>
    </w:p>
    <w:p w14:paraId="3B3AD9BB" w14:textId="77777777" w:rsidR="00EE37EA" w:rsidRPr="00C520C3" w:rsidRDefault="00EE37EA" w:rsidP="00EE37EA">
      <w:r w:rsidRPr="00C520C3">
        <w:t>In de praktijk is echter sprake geweest van aanzienlijke bestuurlijke wisselingen. Zo trad de CEO van DWS in de afgelopen jaren af, en waren er meerdere veranderingen in andere sleutelposities binnen het managementteam. Dergelijke veranderingen kunnen leiden tot inconsistenties in beleidsvoering, vertraging in de uitvoering van strategische doelstellingen en onzekerheid bij stakeholders.</w:t>
      </w:r>
    </w:p>
    <w:p w14:paraId="5BBFABC8" w14:textId="77777777" w:rsidR="00EE37EA" w:rsidRPr="00C520C3" w:rsidRDefault="00EE37EA" w:rsidP="00EE37EA">
      <w:r w:rsidRPr="00C520C3">
        <w:t xml:space="preserve">Daarnaast zijn er toezichtkwesties geweest, zowel bij DWS zelf als bij het moederbedrijf Deutsche Bank, waaronder onderzoeken naar mogelijke tekortkomingen in risicomanagement en naleving van ESG-claims. Deze onderzoeken, uitgevoerd door toezichthouders en externe partijen, hebben vragen opgeroepen over de mate waarin de interne controles en </w:t>
      </w:r>
      <w:proofErr w:type="spellStart"/>
      <w:r w:rsidRPr="00C520C3">
        <w:t>governance</w:t>
      </w:r>
      <w:proofErr w:type="spellEnd"/>
      <w:r w:rsidRPr="00C520C3">
        <w:t xml:space="preserve">-structuren effectief functioneren. Het illustreert dat de formele structuur op zich niet voldoende is; de implementatie en naleving van </w:t>
      </w:r>
      <w:proofErr w:type="spellStart"/>
      <w:r w:rsidRPr="00C520C3">
        <w:t>governance</w:t>
      </w:r>
      <w:proofErr w:type="spellEnd"/>
      <w:r w:rsidRPr="00C520C3">
        <w:t xml:space="preserve">-principes is cruciaal om vertrouwen op lange termijn te waarborgen. </w:t>
      </w:r>
    </w:p>
    <w:p w14:paraId="632DF11E" w14:textId="77777777" w:rsidR="00EE37EA" w:rsidRPr="00C520C3" w:rsidRDefault="00EE37EA" w:rsidP="00EE37EA">
      <w:r w:rsidRPr="00C520C3">
        <w:t xml:space="preserve">Door deze combinatie van bestuurlijke instabiliteit en toezichtkwesties ontstaat er een verminderde zekerheid dat het bestuur consistent, transparant en in lijn met ESG-doelstellingen handelt. Dit maakt dat, ondanks het bestaan van formele </w:t>
      </w:r>
      <w:proofErr w:type="spellStart"/>
      <w:r w:rsidRPr="00C520C3">
        <w:t>governance</w:t>
      </w:r>
      <w:proofErr w:type="spellEnd"/>
      <w:r w:rsidRPr="00C520C3">
        <w:t xml:space="preserve">-mechanismen, het vertrouwen in de operationele uitvoering van DWS’ </w:t>
      </w:r>
      <w:proofErr w:type="spellStart"/>
      <w:r w:rsidRPr="00C520C3">
        <w:t>governance</w:t>
      </w:r>
      <w:proofErr w:type="spellEnd"/>
      <w:r w:rsidRPr="00C520C3">
        <w:t xml:space="preserve"> beperkt is. Om deze reden is de score voor </w:t>
      </w:r>
      <w:proofErr w:type="spellStart"/>
      <w:r w:rsidRPr="00C520C3">
        <w:t>governance</w:t>
      </w:r>
      <w:proofErr w:type="spellEnd"/>
      <w:r w:rsidRPr="00C520C3">
        <w:t xml:space="preserve"> bij DWS gematigd en weerspiegelt het de uitdagingen op het gebied van stabiliteit, toezicht en naleving.</w:t>
      </w:r>
    </w:p>
    <w:p w14:paraId="74880774" w14:textId="77777777" w:rsidR="00EE37EA" w:rsidRPr="00C520C3" w:rsidRDefault="00EE37EA" w:rsidP="00EE37EA">
      <w:r w:rsidRPr="00C520C3">
        <w:br/>
        <w:t xml:space="preserve">→ Score </w:t>
      </w:r>
      <w:r w:rsidRPr="00C520C3">
        <w:rPr>
          <w:b/>
          <w:bCs/>
        </w:rPr>
        <w:t>5</w:t>
      </w:r>
      <w:r w:rsidRPr="00C520C3">
        <w:t>.</w:t>
      </w:r>
    </w:p>
    <w:p w14:paraId="2192DB23" w14:textId="77777777" w:rsidR="00EE37EA" w:rsidRPr="00C520C3" w:rsidRDefault="00EE37EA" w:rsidP="00EE37EA">
      <w:r w:rsidRPr="00C520C3">
        <w:rPr>
          <w:b/>
          <w:bCs/>
        </w:rPr>
        <w:t>Bad Press (2/10)</w:t>
      </w:r>
      <w:r w:rsidRPr="00C520C3">
        <w:br/>
        <w:t>Zeer ernstige reputatie</w:t>
      </w:r>
      <w:r w:rsidRPr="00C520C3">
        <w:softHyphen/>
        <w:t>problemen: DWS kreeg in april 2025 een boete van €25</w:t>
      </w:r>
      <w:r w:rsidRPr="00C520C3">
        <w:rPr>
          <w:rFonts w:ascii="Arial" w:hAnsi="Arial" w:cs="Arial"/>
        </w:rPr>
        <w:t> </w:t>
      </w:r>
      <w:r w:rsidRPr="00C520C3">
        <w:t>miljoen voor greenwashing. Ook sloot de Amerikaanse toezichthouder (SEC) in 2023 een schikking van USD</w:t>
      </w:r>
      <w:r w:rsidRPr="00C520C3">
        <w:rPr>
          <w:rFonts w:ascii="Arial" w:hAnsi="Arial" w:cs="Arial"/>
        </w:rPr>
        <w:t> </w:t>
      </w:r>
      <w:r w:rsidRPr="00C520C3">
        <w:t>25</w:t>
      </w:r>
      <w:r w:rsidRPr="00C520C3">
        <w:rPr>
          <w:rFonts w:ascii="Arial" w:hAnsi="Arial" w:cs="Arial"/>
        </w:rPr>
        <w:t> </w:t>
      </w:r>
      <w:r w:rsidRPr="00C520C3">
        <w:t>miljoen met DWS voor ESG</w:t>
      </w:r>
      <w:r w:rsidRPr="00C520C3">
        <w:noBreakHyphen/>
      </w:r>
      <w:proofErr w:type="spellStart"/>
      <w:r w:rsidRPr="00C520C3">
        <w:t>misleading</w:t>
      </w:r>
      <w:proofErr w:type="spellEnd"/>
      <w:r w:rsidRPr="00C520C3">
        <w:t xml:space="preserve"> statements. </w:t>
      </w:r>
      <w:r w:rsidRPr="00C520C3">
        <w:br/>
        <w:t xml:space="preserve">→ Score </w:t>
      </w:r>
      <w:r w:rsidRPr="00C520C3">
        <w:rPr>
          <w:b/>
          <w:bCs/>
        </w:rPr>
        <w:t>2</w:t>
      </w:r>
      <w:r w:rsidRPr="00C520C3">
        <w:t>.</w:t>
      </w:r>
    </w:p>
    <w:p w14:paraId="19ED9A12" w14:textId="77777777" w:rsidR="00EE37EA" w:rsidRPr="00C520C3" w:rsidRDefault="00EE37EA" w:rsidP="00EE37EA">
      <w:r w:rsidRPr="00C520C3">
        <w:rPr>
          <w:b/>
          <w:bCs/>
        </w:rPr>
        <w:t>Totaalscore (weging 40%/40%/20%)</w:t>
      </w:r>
      <w:r w:rsidRPr="00C520C3">
        <w:t>:</w:t>
      </w:r>
      <w:r w:rsidRPr="00C520C3">
        <w:br/>
        <w:t>(6</w:t>
      </w:r>
      <w:r w:rsidRPr="00C520C3">
        <w:rPr>
          <w:rFonts w:ascii="Arial" w:hAnsi="Arial" w:cs="Arial"/>
        </w:rPr>
        <w:t> </w:t>
      </w:r>
      <w:r w:rsidRPr="00C520C3">
        <w:rPr>
          <w:rFonts w:ascii="Aptos" w:hAnsi="Aptos" w:cs="Aptos"/>
        </w:rPr>
        <w:t>×</w:t>
      </w:r>
      <w:r w:rsidRPr="00C520C3">
        <w:rPr>
          <w:rFonts w:ascii="Arial" w:hAnsi="Arial" w:cs="Arial"/>
        </w:rPr>
        <w:t> </w:t>
      </w:r>
      <w:r w:rsidRPr="00C520C3">
        <w:t>0.40) + (5</w:t>
      </w:r>
      <w:r w:rsidRPr="00C520C3">
        <w:rPr>
          <w:rFonts w:ascii="Arial" w:hAnsi="Arial" w:cs="Arial"/>
        </w:rPr>
        <w:t> </w:t>
      </w:r>
      <w:r w:rsidRPr="00C520C3">
        <w:rPr>
          <w:rFonts w:ascii="Aptos" w:hAnsi="Aptos" w:cs="Aptos"/>
        </w:rPr>
        <w:t>×</w:t>
      </w:r>
      <w:r w:rsidRPr="00C520C3">
        <w:rPr>
          <w:rFonts w:ascii="Arial" w:hAnsi="Arial" w:cs="Arial"/>
        </w:rPr>
        <w:t> </w:t>
      </w:r>
      <w:r w:rsidRPr="00C520C3">
        <w:t>0.40) + (2</w:t>
      </w:r>
      <w:r w:rsidRPr="00C520C3">
        <w:rPr>
          <w:rFonts w:ascii="Arial" w:hAnsi="Arial" w:cs="Arial"/>
        </w:rPr>
        <w:t> </w:t>
      </w:r>
      <w:r w:rsidRPr="00C520C3">
        <w:rPr>
          <w:rFonts w:ascii="Aptos" w:hAnsi="Aptos" w:cs="Aptos"/>
        </w:rPr>
        <w:t>×</w:t>
      </w:r>
      <w:r w:rsidRPr="00C520C3">
        <w:rPr>
          <w:rFonts w:ascii="Arial" w:hAnsi="Arial" w:cs="Arial"/>
        </w:rPr>
        <w:t> </w:t>
      </w:r>
      <w:r w:rsidRPr="00C520C3">
        <w:t>0.20) = 2.4</w:t>
      </w:r>
      <w:r w:rsidRPr="00C520C3">
        <w:rPr>
          <w:rFonts w:ascii="Arial" w:hAnsi="Arial" w:cs="Arial"/>
        </w:rPr>
        <w:t> </w:t>
      </w:r>
      <w:r w:rsidRPr="00C520C3">
        <w:t>+</w:t>
      </w:r>
      <w:r w:rsidRPr="00C520C3">
        <w:rPr>
          <w:rFonts w:ascii="Arial" w:hAnsi="Arial" w:cs="Arial"/>
        </w:rPr>
        <w:t> </w:t>
      </w:r>
      <w:r w:rsidRPr="00C520C3">
        <w:t>2.0</w:t>
      </w:r>
      <w:r w:rsidRPr="00C520C3">
        <w:rPr>
          <w:rFonts w:ascii="Arial" w:hAnsi="Arial" w:cs="Arial"/>
        </w:rPr>
        <w:t> </w:t>
      </w:r>
      <w:r w:rsidRPr="00C520C3">
        <w:t>+</w:t>
      </w:r>
      <w:r w:rsidRPr="00C520C3">
        <w:rPr>
          <w:rFonts w:ascii="Arial" w:hAnsi="Arial" w:cs="Arial"/>
        </w:rPr>
        <w:t> </w:t>
      </w:r>
      <w:r w:rsidRPr="00C520C3">
        <w:t xml:space="preserve">0.4 = </w:t>
      </w:r>
      <w:r w:rsidRPr="00C520C3">
        <w:rPr>
          <w:b/>
          <w:bCs/>
        </w:rPr>
        <w:t>4.8</w:t>
      </w:r>
    </w:p>
    <w:p w14:paraId="4B3C5B89" w14:textId="77777777" w:rsidR="00EE37EA" w:rsidRPr="00C520C3" w:rsidRDefault="00EE37EA" w:rsidP="00EE37EA">
      <w:r w:rsidRPr="00C520C3">
        <w:rPr>
          <w:b/>
          <w:bCs/>
        </w:rPr>
        <w:t>Bronnen:</w:t>
      </w:r>
    </w:p>
    <w:p w14:paraId="65907D0B" w14:textId="77777777" w:rsidR="00EE37EA" w:rsidRPr="00EE37EA" w:rsidRDefault="00EE37EA" w:rsidP="00E1671C">
      <w:pPr>
        <w:numPr>
          <w:ilvl w:val="0"/>
          <w:numId w:val="13"/>
        </w:numPr>
        <w:spacing w:line="259" w:lineRule="auto"/>
        <w:rPr>
          <w:lang w:val="en-US"/>
        </w:rPr>
      </w:pPr>
      <w:r w:rsidRPr="00EE37EA">
        <w:rPr>
          <w:lang w:val="en-US"/>
        </w:rPr>
        <w:t>Reuters article greenwashing fine – https://www.reuters.com/sustainability/german-asset-manager-dws-fined-25-mln-eur-greenwashing-case-2025-04-02</w:t>
      </w:r>
    </w:p>
    <w:p w14:paraId="731A0CDF" w14:textId="77777777" w:rsidR="00EE37EA" w:rsidRPr="00EE37EA" w:rsidRDefault="00EE37EA" w:rsidP="00E1671C">
      <w:pPr>
        <w:numPr>
          <w:ilvl w:val="0"/>
          <w:numId w:val="13"/>
        </w:numPr>
        <w:spacing w:line="259" w:lineRule="auto"/>
        <w:rPr>
          <w:lang w:val="en-US"/>
        </w:rPr>
      </w:pPr>
      <w:proofErr w:type="spellStart"/>
      <w:r w:rsidRPr="00EE37EA">
        <w:rPr>
          <w:lang w:val="en-US"/>
        </w:rPr>
        <w:t>CleanEnergyWire</w:t>
      </w:r>
      <w:proofErr w:type="spellEnd"/>
      <w:r w:rsidRPr="00EE37EA">
        <w:rPr>
          <w:lang w:val="en-US"/>
        </w:rPr>
        <w:t xml:space="preserve"> commentary – </w:t>
      </w:r>
      <w:hyperlink r:id="rId15" w:history="1">
        <w:r w:rsidRPr="00EE37EA">
          <w:rPr>
            <w:rStyle w:val="Hyperlink"/>
            <w:lang w:val="en-US"/>
          </w:rPr>
          <w:t>https://www.cleanenergywire.org/news/greenwashing-fine-asset-manager-dws-warning-entire-financial-sector-opinion</w:t>
        </w:r>
      </w:hyperlink>
      <w:r w:rsidRPr="00EE37EA">
        <w:rPr>
          <w:lang w:val="en-US"/>
        </w:rPr>
        <w:t xml:space="preserve"> </w:t>
      </w:r>
    </w:p>
    <w:p w14:paraId="496CCD35" w14:textId="77777777" w:rsidR="00EE37EA" w:rsidRPr="00EE37EA" w:rsidRDefault="00EE37EA" w:rsidP="00E1671C">
      <w:pPr>
        <w:numPr>
          <w:ilvl w:val="0"/>
          <w:numId w:val="13"/>
        </w:numPr>
        <w:spacing w:line="259" w:lineRule="auto"/>
        <w:rPr>
          <w:lang w:val="en-US"/>
        </w:rPr>
      </w:pPr>
      <w:r w:rsidRPr="00EE37EA">
        <w:rPr>
          <w:lang w:val="en-US"/>
        </w:rPr>
        <w:t xml:space="preserve">SEC press release – </w:t>
      </w:r>
      <w:hyperlink r:id="rId16" w:history="1">
        <w:r w:rsidRPr="00EE37EA">
          <w:rPr>
            <w:rStyle w:val="Hyperlink"/>
            <w:lang w:val="en-US"/>
          </w:rPr>
          <w:t>https://www.sec.gov/newsroom/press-releases/2023-194</w:t>
        </w:r>
      </w:hyperlink>
      <w:r w:rsidRPr="00EE37EA">
        <w:rPr>
          <w:lang w:val="en-US"/>
        </w:rPr>
        <w:t xml:space="preserve"> </w:t>
      </w:r>
    </w:p>
    <w:p w14:paraId="6E095061" w14:textId="77777777" w:rsidR="00EE37EA" w:rsidRPr="00EE37EA" w:rsidRDefault="00EE37EA" w:rsidP="00EE37EA">
      <w:pPr>
        <w:ind w:left="720"/>
        <w:rPr>
          <w:lang w:val="en-US"/>
        </w:rPr>
      </w:pPr>
    </w:p>
    <w:p w14:paraId="765D892E" w14:textId="77777777" w:rsidR="00EE37EA" w:rsidRPr="00EE37EA" w:rsidRDefault="00EE37EA" w:rsidP="00EE37EA">
      <w:pPr>
        <w:rPr>
          <w:lang w:val="en-US"/>
        </w:rPr>
      </w:pPr>
    </w:p>
    <w:p w14:paraId="7D6491EF" w14:textId="77777777" w:rsidR="00EE37EA" w:rsidRPr="00EE37EA" w:rsidRDefault="00EE37EA" w:rsidP="00EE37EA">
      <w:pPr>
        <w:rPr>
          <w:lang w:val="en-US"/>
        </w:rPr>
      </w:pPr>
    </w:p>
    <w:p w14:paraId="163F7124" w14:textId="77777777" w:rsidR="00EE37EA" w:rsidRPr="00EE37EA" w:rsidRDefault="00EE37EA" w:rsidP="00EE37EA">
      <w:pPr>
        <w:rPr>
          <w:lang w:val="en-US"/>
        </w:rPr>
      </w:pPr>
    </w:p>
    <w:p w14:paraId="1AE43A89" w14:textId="77777777" w:rsidR="00EE37EA" w:rsidRPr="00EE37EA" w:rsidRDefault="00EE37EA" w:rsidP="00EE37EA">
      <w:pPr>
        <w:rPr>
          <w:lang w:val="en-US"/>
        </w:rPr>
      </w:pPr>
    </w:p>
    <w:p w14:paraId="40A6660C" w14:textId="77777777" w:rsidR="00EE37EA" w:rsidRPr="00EE37EA" w:rsidRDefault="00EE37EA" w:rsidP="00EE37EA">
      <w:pPr>
        <w:rPr>
          <w:lang w:val="en-US"/>
        </w:rPr>
      </w:pPr>
    </w:p>
    <w:p w14:paraId="4AA5B0C0" w14:textId="77777777" w:rsidR="00EE37EA" w:rsidRPr="00EE37EA" w:rsidRDefault="00EE37EA" w:rsidP="00EE37EA">
      <w:pPr>
        <w:rPr>
          <w:lang w:val="en-US"/>
        </w:rPr>
      </w:pPr>
    </w:p>
    <w:p w14:paraId="517AA026" w14:textId="77777777" w:rsidR="00EE37EA" w:rsidRPr="00EE37EA" w:rsidRDefault="00EE37EA" w:rsidP="00EE37EA">
      <w:pPr>
        <w:rPr>
          <w:lang w:val="en-US"/>
        </w:rPr>
      </w:pPr>
    </w:p>
    <w:p w14:paraId="685EA8F2" w14:textId="77777777" w:rsidR="00EE37EA" w:rsidRPr="00EE37EA" w:rsidRDefault="00EE37EA" w:rsidP="00EE37EA">
      <w:pPr>
        <w:rPr>
          <w:lang w:val="en-US"/>
        </w:rPr>
      </w:pPr>
    </w:p>
    <w:p w14:paraId="12842F46" w14:textId="77777777" w:rsidR="00EE37EA" w:rsidRPr="00C520C3" w:rsidRDefault="4ECF2E88" w:rsidP="00EE37EA">
      <w:pPr>
        <w:pStyle w:val="Heading2"/>
      </w:pPr>
      <w:bookmarkStart w:id="9" w:name="_Toc215578225"/>
      <w:bookmarkStart w:id="10" w:name="_Toc1958705219"/>
      <w:r>
        <w:t>Triodos Investment Management</w:t>
      </w:r>
      <w:bookmarkEnd w:id="9"/>
      <w:bookmarkEnd w:id="10"/>
    </w:p>
    <w:p w14:paraId="74163E5C" w14:textId="77777777" w:rsidR="00EE37EA" w:rsidRPr="00C520C3" w:rsidRDefault="00EE37EA" w:rsidP="00EE37EA">
      <w:r w:rsidRPr="00C520C3">
        <w:rPr>
          <w:b/>
          <w:bCs/>
        </w:rPr>
        <w:t>Duurzaamheidsbeleid (9/10)</w:t>
      </w:r>
      <w:r w:rsidRPr="00C520C3">
        <w:br/>
        <w:t xml:space="preserve">Triodos Investment Management (Triodos IM) heeft een zeer duidelijke focus op impactbeleggen, waarbij financiële doelstellingen worden gecombineerd met meetbare, positieve effecten op maatschappij en milieu. In hun Impact Report 2024 worden concrete resultaten gepresenteerd die laten zien hoe de beleggingen bijdragen aan duurzaamheid. Zo blijkt dat de klimaat- en energiefondsen van Triodos IM in 2024 samen 451 kiloton CO₂-emissies hebben vermeden, wat een directe en meetbare bijdrage levert aan de mitigatie van klimaatverandering. Daarnaast werden 204 projecten in de energiesector gefinancierd, waaronder duurzame energieproductie en energie-efficiëntieprojecten, wat de praktische impact van de investeringen benadrukt. </w:t>
      </w:r>
    </w:p>
    <w:p w14:paraId="14633687" w14:textId="77777777" w:rsidR="00EE37EA" w:rsidRPr="00C520C3" w:rsidRDefault="00EE37EA" w:rsidP="00EE37EA">
      <w:r w:rsidRPr="00C520C3">
        <w:t xml:space="preserve">Triodos IM benadrukt dat alle </w:t>
      </w:r>
      <w:proofErr w:type="spellStart"/>
      <w:r w:rsidRPr="00C520C3">
        <w:t>subfondsen</w:t>
      </w:r>
      <w:proofErr w:type="spellEnd"/>
      <w:r w:rsidRPr="00C520C3">
        <w:t xml:space="preserve"> onder SFDR Artikel</w:t>
      </w:r>
      <w:r w:rsidRPr="00C520C3">
        <w:rPr>
          <w:rFonts w:ascii="Arial" w:hAnsi="Arial" w:cs="Arial"/>
        </w:rPr>
        <w:t> </w:t>
      </w:r>
      <w:r w:rsidRPr="00C520C3">
        <w:t>9 vallen, wat betekent dat zij expliciet duurzame beleggingsdoelstellingen hebben. Deze fondsen zijn ontworpen om positieve milieu- en maatschappelijke effecten te realiseren en tegelijkertijd financieel rendement te genereren voor beleggers. Artikel</w:t>
      </w:r>
      <w:r w:rsidRPr="00C520C3">
        <w:rPr>
          <w:rFonts w:ascii="Arial" w:hAnsi="Arial" w:cs="Arial"/>
        </w:rPr>
        <w:t> </w:t>
      </w:r>
      <w:r w:rsidRPr="00C520C3">
        <w:t xml:space="preserve">9-fondsen zijn streng gereguleerd en vereisen uitgebreide rapportage over hoe de duurzame doelstellingen worden bereikt en gemeten, waardoor beleggers transparantie en zekerheid hebben over de duurzaamheidsprestaties van hun beleggingen. </w:t>
      </w:r>
    </w:p>
    <w:p w14:paraId="3D2F8A1F" w14:textId="77777777" w:rsidR="00EE37EA" w:rsidRPr="00C520C3" w:rsidRDefault="00EE37EA" w:rsidP="00EE37EA">
      <w:r w:rsidRPr="00C520C3">
        <w:t xml:space="preserve">Het duurzaamheidsbeleid van Triodos IM gaat verder dan alleen CO₂-reductie en energieprojecten. De organisatie hanteert een breed ESG-raamwerk, waarin milieu, sociale impact en </w:t>
      </w:r>
      <w:proofErr w:type="spellStart"/>
      <w:r w:rsidRPr="00C520C3">
        <w:t>governance</w:t>
      </w:r>
      <w:proofErr w:type="spellEnd"/>
      <w:r w:rsidRPr="00C520C3">
        <w:t xml:space="preserve"> volledig geïntegreerd zijn in het beleggingsproces. Elk project en elke investering wordt zorgvuldig geëvalueerd op zijn bijdrage aan duurzame ontwikkeling, en er wordt actief engagement gepleegd met bedrijven en projecten om verbeteringen in duurzaamheid te stimuleren. Daarnaast worden de resultaten jaarlijks transparant gerapporteerd aan investeerders, inclusief kwantitatieve en kwalitatieve analyses van de bereikte impact.</w:t>
      </w:r>
    </w:p>
    <w:p w14:paraId="63D2A020" w14:textId="77777777" w:rsidR="00EE37EA" w:rsidRPr="00C520C3" w:rsidRDefault="00EE37EA" w:rsidP="00EE37EA">
      <w:r w:rsidRPr="00C520C3">
        <w:t>Door deze combinatie van meetbare resultaten, strikte SFDR-classificatie en uitgebreide rapportages, laat Triodos IM zien dat duurzaam beleggen niet alleen een beleidskader is, maar daadwerkelijk concreet effect sorteert. De nadruk op zowel transparantie als impact maakt Triodos IM tot een betrouwbare en geloofwaardige speler op het gebied van verantwoord en impactgericht beleggen. Deze brede en diepgaande aanpak rechtvaardigt een hoge score op het criterium duurzaamheidsbeleid.</w:t>
      </w:r>
    </w:p>
    <w:p w14:paraId="2255D5CD" w14:textId="77777777" w:rsidR="00EE37EA" w:rsidRPr="00C520C3" w:rsidRDefault="00EE37EA" w:rsidP="00EE37EA">
      <w:r w:rsidRPr="00C520C3">
        <w:br/>
        <w:t xml:space="preserve">→ Score </w:t>
      </w:r>
      <w:r w:rsidRPr="00C520C3">
        <w:rPr>
          <w:b/>
          <w:bCs/>
        </w:rPr>
        <w:t>9</w:t>
      </w:r>
      <w:r w:rsidRPr="00C520C3">
        <w:t>.</w:t>
      </w:r>
    </w:p>
    <w:p w14:paraId="51F7DBB5" w14:textId="77777777" w:rsidR="00EE37EA" w:rsidRPr="00C520C3" w:rsidRDefault="00EE37EA" w:rsidP="00EE37EA">
      <w:proofErr w:type="spellStart"/>
      <w:r w:rsidRPr="00C520C3">
        <w:rPr>
          <w:b/>
          <w:bCs/>
        </w:rPr>
        <w:t>Governance</w:t>
      </w:r>
      <w:proofErr w:type="spellEnd"/>
      <w:r w:rsidRPr="00C520C3">
        <w:rPr>
          <w:b/>
          <w:bCs/>
        </w:rPr>
        <w:t xml:space="preserve"> (7/10)</w:t>
      </w:r>
      <w:r w:rsidRPr="00C520C3">
        <w:br/>
        <w:t xml:space="preserve">Triodos Investment Management (Triodos IM) hanteert een zorgvuldig gestructureerd </w:t>
      </w:r>
      <w:proofErr w:type="spellStart"/>
      <w:r w:rsidRPr="00C520C3">
        <w:t>governance</w:t>
      </w:r>
      <w:proofErr w:type="spellEnd"/>
      <w:r w:rsidRPr="00C520C3">
        <w:t>-raamwerk dat gebaseerd is op de richtlijnen en principes van de Nederlandse Vereniging van Fondsprofessionals (DUFAS). Deze principes bieden een duidelijk kader voor het bestuur van fondsen, inclusief verantwoordelijkheden, toezichtmechanismen, risicobeheer en transparantie richting beleggers. Door deze standaarden te volgen, waarborgt Triodos IM dat haar fondsen op een professionele en consistente manier worden beheerd.</w:t>
      </w:r>
    </w:p>
    <w:p w14:paraId="2CB49E79" w14:textId="77777777" w:rsidR="00EE37EA" w:rsidRPr="00C520C3" w:rsidRDefault="00EE37EA" w:rsidP="00EE37EA">
      <w:r w:rsidRPr="00C520C3">
        <w:t xml:space="preserve">Daarnaast is Triodos IM lid van de UN </w:t>
      </w:r>
      <w:proofErr w:type="spellStart"/>
      <w:r w:rsidRPr="00C520C3">
        <w:t>Principles</w:t>
      </w:r>
      <w:proofErr w:type="spellEnd"/>
      <w:r w:rsidRPr="00C520C3">
        <w:t xml:space="preserve"> </w:t>
      </w:r>
      <w:proofErr w:type="spellStart"/>
      <w:r w:rsidRPr="00C520C3">
        <w:t>for</w:t>
      </w:r>
      <w:proofErr w:type="spellEnd"/>
      <w:r w:rsidRPr="00C520C3">
        <w:t xml:space="preserve"> </w:t>
      </w:r>
      <w:proofErr w:type="spellStart"/>
      <w:r w:rsidRPr="00C520C3">
        <w:t>Responsible</w:t>
      </w:r>
      <w:proofErr w:type="spellEnd"/>
      <w:r w:rsidRPr="00C520C3">
        <w:t xml:space="preserve"> Investment (PRI), een internationaal erkend netwerk dat vermogensbeheerders en institutionele beleggers ondersteunt bij het integreren van ESG-criteria in het investeringsproces. Het lidmaatschap van PRI benadrukt dat Triodos IM zich actief inzet voor verantwoorde investeringspraktijken en ESG-integratie in alle beleggingsbeslissingen.</w:t>
      </w:r>
    </w:p>
    <w:p w14:paraId="28305B21" w14:textId="77777777" w:rsidR="00EE37EA" w:rsidRPr="00C520C3" w:rsidRDefault="00EE37EA" w:rsidP="00EE37EA">
      <w:r w:rsidRPr="00C520C3">
        <w:t xml:space="preserve">Hoewel de </w:t>
      </w:r>
      <w:proofErr w:type="spellStart"/>
      <w:r w:rsidRPr="00C520C3">
        <w:t>governance</w:t>
      </w:r>
      <w:proofErr w:type="spellEnd"/>
      <w:r w:rsidRPr="00C520C3">
        <w:t xml:space="preserve"> van Triodos IM over het algemeen sterk en transparant is, is er een belangrijke nuance: er bestaat enige reputatie-overlap met de moederbank, Triodos Bank. De moederbank is actief in zowel </w:t>
      </w:r>
      <w:proofErr w:type="spellStart"/>
      <w:r w:rsidRPr="00C520C3">
        <w:t>retail</w:t>
      </w:r>
      <w:proofErr w:type="spellEnd"/>
      <w:r w:rsidRPr="00C520C3">
        <w:t xml:space="preserve">- als commerciële bankdiensten, wat in het verleden heeft geleid tot enkele reputatie-uitdagingen, zoals aandacht van toezichthouders of maatschappelijke discussie over bepaalde activiteiten. Hoewel deze kwesties niet direct het fondsbeheer van Triodos IM betreffen, kan een negatieve perceptie van de bankgroep invloed hebben op het vertrouwen van beleggers in Triodos IM. Dit betekent dat beleggers enigszins voorzichtig moeten zijn en de context van de bankgroep mee moeten nemen bij hun beoordeling van </w:t>
      </w:r>
      <w:proofErr w:type="spellStart"/>
      <w:r w:rsidRPr="00C520C3">
        <w:t>governance</w:t>
      </w:r>
      <w:proofErr w:type="spellEnd"/>
      <w:r w:rsidRPr="00C520C3">
        <w:t>.</w:t>
      </w:r>
    </w:p>
    <w:p w14:paraId="6224CC4A" w14:textId="77777777" w:rsidR="00EE37EA" w:rsidRPr="00C520C3" w:rsidRDefault="00EE37EA" w:rsidP="00EE37EA">
      <w:r w:rsidRPr="00C520C3">
        <w:t xml:space="preserve">Kortom, Triodos IM combineert gestructureerde en professionele fund </w:t>
      </w:r>
      <w:proofErr w:type="spellStart"/>
      <w:r w:rsidRPr="00C520C3">
        <w:t>governance</w:t>
      </w:r>
      <w:proofErr w:type="spellEnd"/>
      <w:r w:rsidRPr="00C520C3">
        <w:t xml:space="preserve"> met internationale erkenning van ESG-principes en transparante rapportage aan beleggers. De </w:t>
      </w:r>
      <w:proofErr w:type="spellStart"/>
      <w:r w:rsidRPr="00C520C3">
        <w:t>governance</w:t>
      </w:r>
      <w:proofErr w:type="spellEnd"/>
      <w:r w:rsidRPr="00C520C3">
        <w:t xml:space="preserve"> wordt versterkt door externe richtlijnen en lidmaatschappen, maar beleggers moeten wel rekening houden met de indirecte reputatierisico’s die voortkomen uit de verbondenheid met Triodos Bank. Deze combinatie van sterke interne </w:t>
      </w:r>
      <w:proofErr w:type="spellStart"/>
      <w:r w:rsidRPr="00C520C3">
        <w:t>governance</w:t>
      </w:r>
      <w:proofErr w:type="spellEnd"/>
      <w:r w:rsidRPr="00C520C3">
        <w:t xml:space="preserve"> en externe reputatieoverwegingen leidt tot een genuanceerde, maar overwegend positieve beoordeling van </w:t>
      </w:r>
      <w:proofErr w:type="spellStart"/>
      <w:r w:rsidRPr="00C520C3">
        <w:t>governance</w:t>
      </w:r>
      <w:proofErr w:type="spellEnd"/>
      <w:r w:rsidRPr="00C520C3">
        <w:t xml:space="preserve">. → Score </w:t>
      </w:r>
      <w:r w:rsidRPr="00C520C3">
        <w:rPr>
          <w:b/>
          <w:bCs/>
        </w:rPr>
        <w:t>7</w:t>
      </w:r>
      <w:r w:rsidRPr="00C520C3">
        <w:t>.</w:t>
      </w:r>
    </w:p>
    <w:p w14:paraId="38BE21C7" w14:textId="77777777" w:rsidR="00EE37EA" w:rsidRPr="00C520C3" w:rsidRDefault="00EE37EA" w:rsidP="00EE37EA">
      <w:r w:rsidRPr="00C520C3">
        <w:rPr>
          <w:b/>
          <w:bCs/>
        </w:rPr>
        <w:t>Bad Press (6/10)</w:t>
      </w:r>
      <w:r w:rsidRPr="00C520C3">
        <w:br/>
        <w:t>Er zijn geen grote ESG</w:t>
      </w:r>
      <w:r w:rsidRPr="00C520C3">
        <w:noBreakHyphen/>
        <w:t>gerelateerde schandalen gemeld voor Triodos IM specifiek, maar de reputatie van de bankgroep kent enige uitdagingen (bijv. kwesties rond certificaathouders). Daarom een gematigde score.</w:t>
      </w:r>
      <w:r w:rsidRPr="00C520C3">
        <w:br/>
        <w:t xml:space="preserve">→ Score </w:t>
      </w:r>
      <w:r w:rsidRPr="00C520C3">
        <w:rPr>
          <w:b/>
          <w:bCs/>
        </w:rPr>
        <w:t>6</w:t>
      </w:r>
      <w:r w:rsidRPr="00C520C3">
        <w:t>.</w:t>
      </w:r>
    </w:p>
    <w:p w14:paraId="7122A289" w14:textId="77777777" w:rsidR="00EE37EA" w:rsidRPr="00C520C3" w:rsidRDefault="00EE37EA" w:rsidP="00EE37EA">
      <w:r w:rsidRPr="00C520C3">
        <w:rPr>
          <w:b/>
          <w:bCs/>
        </w:rPr>
        <w:t>Totaalscore (weging 40%/40%/20%)</w:t>
      </w:r>
      <w:r w:rsidRPr="00C520C3">
        <w:t>:</w:t>
      </w:r>
      <w:r w:rsidRPr="00C520C3">
        <w:br/>
        <w:t>(9</w:t>
      </w:r>
      <w:r w:rsidRPr="00C520C3">
        <w:rPr>
          <w:rFonts w:ascii="Arial" w:hAnsi="Arial" w:cs="Arial"/>
        </w:rPr>
        <w:t> </w:t>
      </w:r>
      <w:r w:rsidRPr="00C520C3">
        <w:rPr>
          <w:rFonts w:ascii="Aptos" w:hAnsi="Aptos" w:cs="Aptos"/>
        </w:rPr>
        <w:t>×</w:t>
      </w:r>
      <w:r w:rsidRPr="00C520C3">
        <w:rPr>
          <w:rFonts w:ascii="Arial" w:hAnsi="Arial" w:cs="Arial"/>
        </w:rPr>
        <w:t> </w:t>
      </w:r>
      <w:r w:rsidRPr="00C520C3">
        <w:t>0.40) + (7</w:t>
      </w:r>
      <w:r w:rsidRPr="00C520C3">
        <w:rPr>
          <w:rFonts w:ascii="Arial" w:hAnsi="Arial" w:cs="Arial"/>
        </w:rPr>
        <w:t> </w:t>
      </w:r>
      <w:r w:rsidRPr="00C520C3">
        <w:rPr>
          <w:rFonts w:ascii="Aptos" w:hAnsi="Aptos" w:cs="Aptos"/>
        </w:rPr>
        <w:t>×</w:t>
      </w:r>
      <w:r w:rsidRPr="00C520C3">
        <w:rPr>
          <w:rFonts w:ascii="Arial" w:hAnsi="Arial" w:cs="Arial"/>
        </w:rPr>
        <w:t> </w:t>
      </w:r>
      <w:r w:rsidRPr="00C520C3">
        <w:t>0.40) + (6</w:t>
      </w:r>
      <w:r w:rsidRPr="00C520C3">
        <w:rPr>
          <w:rFonts w:ascii="Arial" w:hAnsi="Arial" w:cs="Arial"/>
        </w:rPr>
        <w:t> </w:t>
      </w:r>
      <w:r w:rsidRPr="00C520C3">
        <w:rPr>
          <w:rFonts w:ascii="Aptos" w:hAnsi="Aptos" w:cs="Aptos"/>
        </w:rPr>
        <w:t>×</w:t>
      </w:r>
      <w:r w:rsidRPr="00C520C3">
        <w:rPr>
          <w:rFonts w:ascii="Arial" w:hAnsi="Arial" w:cs="Arial"/>
        </w:rPr>
        <w:t> </w:t>
      </w:r>
      <w:r w:rsidRPr="00C520C3">
        <w:t>0.20) = 3.6</w:t>
      </w:r>
      <w:r w:rsidRPr="00C520C3">
        <w:rPr>
          <w:rFonts w:ascii="Arial" w:hAnsi="Arial" w:cs="Arial"/>
        </w:rPr>
        <w:t> </w:t>
      </w:r>
      <w:r w:rsidRPr="00C520C3">
        <w:t>+</w:t>
      </w:r>
      <w:r w:rsidRPr="00C520C3">
        <w:rPr>
          <w:rFonts w:ascii="Arial" w:hAnsi="Arial" w:cs="Arial"/>
        </w:rPr>
        <w:t> </w:t>
      </w:r>
      <w:r w:rsidRPr="00C520C3">
        <w:t>2.8</w:t>
      </w:r>
      <w:r w:rsidRPr="00C520C3">
        <w:rPr>
          <w:rFonts w:ascii="Arial" w:hAnsi="Arial" w:cs="Arial"/>
        </w:rPr>
        <w:t> </w:t>
      </w:r>
      <w:r w:rsidRPr="00C520C3">
        <w:t>+</w:t>
      </w:r>
      <w:r w:rsidRPr="00C520C3">
        <w:rPr>
          <w:rFonts w:ascii="Arial" w:hAnsi="Arial" w:cs="Arial"/>
        </w:rPr>
        <w:t> </w:t>
      </w:r>
      <w:r w:rsidRPr="00C520C3">
        <w:t xml:space="preserve">1.2 = </w:t>
      </w:r>
      <w:r w:rsidRPr="00C520C3">
        <w:rPr>
          <w:b/>
          <w:bCs/>
        </w:rPr>
        <w:t>7.6</w:t>
      </w:r>
    </w:p>
    <w:p w14:paraId="58C25A67" w14:textId="77777777" w:rsidR="00EE37EA" w:rsidRPr="00C520C3" w:rsidRDefault="00EE37EA" w:rsidP="00EE37EA">
      <w:r w:rsidRPr="00C520C3">
        <w:rPr>
          <w:b/>
          <w:bCs/>
        </w:rPr>
        <w:t>Bronnen:</w:t>
      </w:r>
    </w:p>
    <w:p w14:paraId="33130C57" w14:textId="77777777" w:rsidR="00EE37EA" w:rsidRPr="00EE37EA" w:rsidRDefault="00EE37EA" w:rsidP="00E1671C">
      <w:pPr>
        <w:numPr>
          <w:ilvl w:val="0"/>
          <w:numId w:val="14"/>
        </w:numPr>
        <w:spacing w:line="259" w:lineRule="auto"/>
        <w:rPr>
          <w:lang w:val="en-US"/>
        </w:rPr>
      </w:pPr>
      <w:r w:rsidRPr="00EE37EA">
        <w:rPr>
          <w:lang w:val="en-US"/>
        </w:rPr>
        <w:t>Impact Report</w:t>
      </w:r>
      <w:r w:rsidRPr="00EE37EA">
        <w:rPr>
          <w:rFonts w:ascii="Arial" w:hAnsi="Arial" w:cs="Arial"/>
          <w:lang w:val="en-US"/>
        </w:rPr>
        <w:t> </w:t>
      </w:r>
      <w:r w:rsidRPr="00EE37EA">
        <w:rPr>
          <w:lang w:val="en-US"/>
        </w:rPr>
        <w:t xml:space="preserve">2024 </w:t>
      </w:r>
      <w:proofErr w:type="spellStart"/>
      <w:r w:rsidRPr="00EE37EA">
        <w:rPr>
          <w:lang w:val="en-US"/>
        </w:rPr>
        <w:t>Triodos</w:t>
      </w:r>
      <w:proofErr w:type="spellEnd"/>
      <w:r w:rsidRPr="00EE37EA">
        <w:rPr>
          <w:lang w:val="en-US"/>
        </w:rPr>
        <w:t xml:space="preserve"> IM: https://www.triodos-im.com/impact-report/2024</w:t>
      </w:r>
    </w:p>
    <w:p w14:paraId="7CCD4729" w14:textId="77777777" w:rsidR="00EE37EA" w:rsidRPr="00EE37EA" w:rsidRDefault="00EE37EA" w:rsidP="00E1671C">
      <w:pPr>
        <w:numPr>
          <w:ilvl w:val="0"/>
          <w:numId w:val="14"/>
        </w:numPr>
        <w:spacing w:line="259" w:lineRule="auto"/>
        <w:rPr>
          <w:lang w:val="en-US"/>
        </w:rPr>
      </w:pPr>
      <w:r w:rsidRPr="00EE37EA">
        <w:rPr>
          <w:lang w:val="en-US"/>
        </w:rPr>
        <w:t xml:space="preserve">Governance page </w:t>
      </w:r>
      <w:proofErr w:type="spellStart"/>
      <w:r w:rsidRPr="00EE37EA">
        <w:rPr>
          <w:lang w:val="en-US"/>
        </w:rPr>
        <w:t>Triodos</w:t>
      </w:r>
      <w:proofErr w:type="spellEnd"/>
      <w:r w:rsidRPr="00EE37EA">
        <w:rPr>
          <w:lang w:val="en-US"/>
        </w:rPr>
        <w:t xml:space="preserve"> IM: </w:t>
      </w:r>
      <w:hyperlink r:id="rId17" w:history="1">
        <w:r w:rsidRPr="00EE37EA">
          <w:rPr>
            <w:rStyle w:val="Hyperlink"/>
            <w:lang w:val="en-US"/>
          </w:rPr>
          <w:t>https://www.triodos-im.com/governance</w:t>
        </w:r>
      </w:hyperlink>
      <w:r w:rsidRPr="00EE37EA">
        <w:rPr>
          <w:lang w:val="en-US"/>
        </w:rPr>
        <w:t xml:space="preserve"> </w:t>
      </w:r>
    </w:p>
    <w:p w14:paraId="6A2FDCC3" w14:textId="77777777" w:rsidR="00EE37EA" w:rsidRPr="00EE37EA" w:rsidRDefault="00EE37EA" w:rsidP="00E1671C">
      <w:pPr>
        <w:numPr>
          <w:ilvl w:val="0"/>
          <w:numId w:val="14"/>
        </w:numPr>
        <w:spacing w:line="259" w:lineRule="auto"/>
        <w:rPr>
          <w:lang w:val="en-US"/>
        </w:rPr>
      </w:pPr>
      <w:r w:rsidRPr="00EE37EA">
        <w:rPr>
          <w:lang w:val="en-US"/>
        </w:rPr>
        <w:t xml:space="preserve">Annual Report 2024 </w:t>
      </w:r>
      <w:proofErr w:type="spellStart"/>
      <w:r w:rsidRPr="00EE37EA">
        <w:rPr>
          <w:lang w:val="en-US"/>
        </w:rPr>
        <w:t>Triodos</w:t>
      </w:r>
      <w:proofErr w:type="spellEnd"/>
      <w:r w:rsidRPr="00EE37EA">
        <w:rPr>
          <w:lang w:val="en-US"/>
        </w:rPr>
        <w:t xml:space="preserve"> Impact Strategies N.V.: </w:t>
      </w:r>
      <w:hyperlink r:id="rId18" w:tgtFrame="_new" w:history="1">
        <w:r w:rsidRPr="00EE37EA">
          <w:rPr>
            <w:rStyle w:val="Hyperlink"/>
            <w:lang w:val="en-US"/>
          </w:rPr>
          <w:t>https://www.triodos-im.com/binaries/content/assets/shared/fund-assets/tmif/annual-report-triodos-impact-strategies-n.v.-2024.pdf</w:t>
        </w:r>
      </w:hyperlink>
      <w:r w:rsidRPr="00EE37EA">
        <w:rPr>
          <w:lang w:val="en-US"/>
        </w:rPr>
        <w:t xml:space="preserve"> </w:t>
      </w:r>
    </w:p>
    <w:p w14:paraId="49352232" w14:textId="77777777" w:rsidR="00EE37EA" w:rsidRPr="00EE37EA" w:rsidRDefault="00EE37EA" w:rsidP="00EE37EA">
      <w:pPr>
        <w:rPr>
          <w:lang w:val="en-US"/>
        </w:rPr>
      </w:pPr>
    </w:p>
    <w:p w14:paraId="166DAD96" w14:textId="77777777" w:rsidR="00EE37EA" w:rsidRPr="00EE37EA" w:rsidRDefault="00EE37EA" w:rsidP="00EE37EA">
      <w:pPr>
        <w:rPr>
          <w:lang w:val="en-US"/>
        </w:rPr>
      </w:pPr>
    </w:p>
    <w:p w14:paraId="08A909AB" w14:textId="77777777" w:rsidR="00EE37EA" w:rsidRPr="00EE37EA" w:rsidRDefault="00EE37EA" w:rsidP="00EE37EA">
      <w:pPr>
        <w:rPr>
          <w:lang w:val="en-US"/>
        </w:rPr>
      </w:pPr>
    </w:p>
    <w:p w14:paraId="57E4A51C" w14:textId="77777777" w:rsidR="00EE37EA" w:rsidRPr="00EE37EA" w:rsidRDefault="00EE37EA" w:rsidP="00EE37EA">
      <w:pPr>
        <w:rPr>
          <w:lang w:val="en-US"/>
        </w:rPr>
      </w:pPr>
    </w:p>
    <w:p w14:paraId="799F01A7" w14:textId="77777777" w:rsidR="00EE37EA" w:rsidRPr="00EE37EA" w:rsidRDefault="00EE37EA" w:rsidP="00EE37EA">
      <w:pPr>
        <w:rPr>
          <w:b/>
          <w:bCs/>
          <w:sz w:val="30"/>
          <w:szCs w:val="30"/>
          <w:lang w:val="en-US"/>
        </w:rPr>
      </w:pPr>
    </w:p>
    <w:p w14:paraId="640F65BE" w14:textId="77777777" w:rsidR="00EE37EA" w:rsidRPr="00C520C3" w:rsidRDefault="4ECF2E88" w:rsidP="00EE37EA">
      <w:pPr>
        <w:pStyle w:val="Heading1"/>
      </w:pPr>
      <w:bookmarkStart w:id="11" w:name="_Toc215578226"/>
      <w:bookmarkStart w:id="12" w:name="_Toc1798350084"/>
      <w:r>
        <w:t>Onderbouwing wegingen:</w:t>
      </w:r>
      <w:bookmarkEnd w:id="11"/>
      <w:bookmarkEnd w:id="12"/>
      <w:r>
        <w:t xml:space="preserve"> </w:t>
      </w:r>
    </w:p>
    <w:p w14:paraId="3DBF1073" w14:textId="77777777" w:rsidR="00EE37EA" w:rsidRPr="00C520C3" w:rsidRDefault="00EE37EA" w:rsidP="00EE37EA">
      <w:r w:rsidRPr="00C520C3">
        <w:rPr>
          <w:b/>
          <w:bCs/>
        </w:rPr>
        <w:t>Duurzaamheidsbeleid – 40%</w:t>
      </w:r>
      <w:r w:rsidRPr="00C520C3">
        <w:br/>
        <w:t>Duurzaamheidsbeleid vormt het hart van verantwoord beleggen. Het beleid bepaalt welke investeringen passend zijn, hoe ESG-factoren worden geïntegreerd en welke impact de fondsen daadwerkelijk hebben. Omdat dit de basis is voor de missie en strategie van een vermogensbeheerder, krijgt dit criterium de hoogste weging.</w:t>
      </w:r>
    </w:p>
    <w:p w14:paraId="65E6F13A" w14:textId="77777777" w:rsidR="00EE37EA" w:rsidRPr="00C520C3" w:rsidRDefault="00EE37EA" w:rsidP="00EE37EA">
      <w:proofErr w:type="spellStart"/>
      <w:r w:rsidRPr="00C520C3">
        <w:rPr>
          <w:b/>
          <w:bCs/>
        </w:rPr>
        <w:t>Governance</w:t>
      </w:r>
      <w:proofErr w:type="spellEnd"/>
      <w:r w:rsidRPr="00C520C3">
        <w:rPr>
          <w:b/>
          <w:bCs/>
        </w:rPr>
        <w:t xml:space="preserve"> – 40%</w:t>
      </w:r>
      <w:r w:rsidRPr="00C520C3">
        <w:br/>
        <w:t xml:space="preserve">Goede </w:t>
      </w:r>
      <w:proofErr w:type="spellStart"/>
      <w:r w:rsidRPr="00C520C3">
        <w:t>governance</w:t>
      </w:r>
      <w:proofErr w:type="spellEnd"/>
      <w:r w:rsidRPr="00C520C3">
        <w:t xml:space="preserve"> waarborgt transparantie, verantwoording en de naleving van het duurzaamheidsbeleid. Zonder solide bestuur kunnen duurzaamheidsdoelen niet effectief worden uitgevoerd en kunnen risico’s zoals belangenconflicten of mismanagement ontstaan. </w:t>
      </w:r>
      <w:proofErr w:type="spellStart"/>
      <w:r w:rsidRPr="00C520C3">
        <w:t>Governance</w:t>
      </w:r>
      <w:proofErr w:type="spellEnd"/>
      <w:r w:rsidRPr="00C520C3">
        <w:t xml:space="preserve"> is daarom even zwaar gewogen als duurzaamheidsbeleid.</w:t>
      </w:r>
    </w:p>
    <w:p w14:paraId="67C13C06" w14:textId="77777777" w:rsidR="00EE37EA" w:rsidRPr="00C520C3" w:rsidRDefault="00EE37EA" w:rsidP="00EE37EA">
      <w:r w:rsidRPr="00C520C3">
        <w:rPr>
          <w:b/>
          <w:bCs/>
        </w:rPr>
        <w:t>Bad Press – 20%</w:t>
      </w:r>
      <w:r w:rsidRPr="00C520C3">
        <w:br/>
        <w:t xml:space="preserve">Negatieve publiciteit beïnvloedt de reputatie en het vertrouwen van klanten, maar zegt niet altijd iets over het huidige beleid of de structuur van de organisatie. Daarom krijgt bad </w:t>
      </w:r>
      <w:proofErr w:type="spellStart"/>
      <w:r w:rsidRPr="00C520C3">
        <w:t>press</w:t>
      </w:r>
      <w:proofErr w:type="spellEnd"/>
      <w:r w:rsidRPr="00C520C3">
        <w:t xml:space="preserve"> een lagere weging. Het is wel belangrijk om te beoordelen hoe de beheerder met incidenten omgaat en welke verbetermaatregelen zijn genomen.</w:t>
      </w:r>
    </w:p>
    <w:p w14:paraId="7B2898FA" w14:textId="77777777" w:rsidR="00EE37EA" w:rsidRPr="00C520C3" w:rsidRDefault="00EE37EA" w:rsidP="00EE37EA"/>
    <w:p w14:paraId="5F81B71D" w14:textId="77777777" w:rsidR="00EE37EA" w:rsidRPr="00C520C3" w:rsidRDefault="00EE37EA" w:rsidP="00EE37EA"/>
    <w:p w14:paraId="0E5ABCF6" w14:textId="77777777" w:rsidR="00EE37EA" w:rsidRPr="00C520C3" w:rsidRDefault="4ECF2E88" w:rsidP="6D5ED2DD">
      <w:pPr>
        <w:rPr>
          <w:b/>
          <w:bCs/>
        </w:rPr>
      </w:pPr>
      <w:bookmarkStart w:id="13" w:name="_Toc215578227"/>
      <w:bookmarkStart w:id="14" w:name="_Toc2113298141"/>
      <w:r w:rsidRPr="6D5ED2DD">
        <w:rPr>
          <w:rStyle w:val="Heading2Char"/>
        </w:rPr>
        <w:t>Gekozen vermogensbeheerder: ASN Impact Investors</w:t>
      </w:r>
      <w:bookmarkEnd w:id="13"/>
      <w:bookmarkEnd w:id="14"/>
      <w:r w:rsidRPr="6D5ED2DD">
        <w:rPr>
          <w:b/>
          <w:bCs/>
        </w:rPr>
        <w:t xml:space="preserve"> (score 8.4/10)</w:t>
      </w:r>
    </w:p>
    <w:p w14:paraId="4A0FF2A6" w14:textId="77777777" w:rsidR="00EE37EA" w:rsidRPr="00C520C3" w:rsidRDefault="00EE37EA" w:rsidP="00EE37EA">
      <w:r w:rsidRPr="00C520C3">
        <w:t xml:space="preserve">De keuze valt op ASN Impact </w:t>
      </w:r>
      <w:proofErr w:type="spellStart"/>
      <w:r w:rsidRPr="00C520C3">
        <w:t>Investors</w:t>
      </w:r>
      <w:proofErr w:type="spellEnd"/>
      <w:r w:rsidRPr="00C520C3">
        <w:t xml:space="preserve"> omdat deze vermogensbeheerder het hoogste totaal van de drie criteria heeft behaald.</w:t>
      </w:r>
    </w:p>
    <w:p w14:paraId="60DC9681" w14:textId="77777777" w:rsidR="00EE37EA" w:rsidRPr="00C520C3" w:rsidRDefault="00EE37EA" w:rsidP="00E1671C">
      <w:pPr>
        <w:numPr>
          <w:ilvl w:val="0"/>
          <w:numId w:val="15"/>
        </w:numPr>
        <w:spacing w:line="259" w:lineRule="auto"/>
      </w:pPr>
      <w:r w:rsidRPr="00C520C3">
        <w:rPr>
          <w:b/>
          <w:bCs/>
        </w:rPr>
        <w:t>Duurzaamheidsbeleid (9/10)</w:t>
      </w:r>
      <w:r w:rsidRPr="00C520C3">
        <w:t>: ASN heeft een zeer duidelijk en concreet impactbeleid, met meetbare resultaten op het gebied van biodiversiteit, klimaat en sociale impact. Dit maakt dat de fondsen daadwerkelijk bijdragen aan duurzame doelstellingen.</w:t>
      </w:r>
    </w:p>
    <w:p w14:paraId="0986C8A7" w14:textId="77777777" w:rsidR="00EE37EA" w:rsidRPr="00C520C3" w:rsidRDefault="00EE37EA" w:rsidP="00E1671C">
      <w:pPr>
        <w:numPr>
          <w:ilvl w:val="0"/>
          <w:numId w:val="15"/>
        </w:numPr>
        <w:spacing w:line="259" w:lineRule="auto"/>
      </w:pPr>
      <w:proofErr w:type="spellStart"/>
      <w:r w:rsidRPr="00C520C3">
        <w:rPr>
          <w:b/>
          <w:bCs/>
        </w:rPr>
        <w:t>Governance</w:t>
      </w:r>
      <w:proofErr w:type="spellEnd"/>
      <w:r w:rsidRPr="00C520C3">
        <w:rPr>
          <w:b/>
          <w:bCs/>
        </w:rPr>
        <w:t xml:space="preserve"> (8/10)</w:t>
      </w:r>
      <w:r w:rsidRPr="00C520C3">
        <w:t>: De fondsenstructuur, het transparante rapportagebeleid en de ethische richtlijnen laten zien dat ASN professioneel en verantwoordelijk wordt bestuurd.</w:t>
      </w:r>
    </w:p>
    <w:p w14:paraId="12CC76D4" w14:textId="77777777" w:rsidR="00EE37EA" w:rsidRPr="00C520C3" w:rsidRDefault="00EE37EA" w:rsidP="00E1671C">
      <w:pPr>
        <w:numPr>
          <w:ilvl w:val="0"/>
          <w:numId w:val="15"/>
        </w:numPr>
        <w:spacing w:line="259" w:lineRule="auto"/>
      </w:pPr>
      <w:r w:rsidRPr="00C520C3">
        <w:rPr>
          <w:b/>
          <w:bCs/>
        </w:rPr>
        <w:t>Bad Press (8/10)</w:t>
      </w:r>
      <w:r w:rsidRPr="00C520C3">
        <w:t>: Er zijn geen grote negatieve publiciteitskwesties gevonden. ASN handelt proactief in het voorkomen van reputatieschade en toont betrokkenheid bij duurzame verbeteringen.</w:t>
      </w:r>
    </w:p>
    <w:p w14:paraId="48F7536B" w14:textId="77777777" w:rsidR="00EE37EA" w:rsidRPr="00C520C3" w:rsidRDefault="00EE37EA" w:rsidP="00EE37EA">
      <w:r w:rsidRPr="00C520C3">
        <w:rPr>
          <w:b/>
          <w:bCs/>
        </w:rPr>
        <w:t>Conclusie:</w:t>
      </w:r>
      <w:r w:rsidRPr="00C520C3">
        <w:t xml:space="preserve"> ASN Impact </w:t>
      </w:r>
      <w:proofErr w:type="spellStart"/>
      <w:r w:rsidRPr="00C520C3">
        <w:t>Investors</w:t>
      </w:r>
      <w:proofErr w:type="spellEnd"/>
      <w:r w:rsidRPr="00C520C3">
        <w:t xml:space="preserve"> combineert een sterk duurzaamheidsbeleid met transparante </w:t>
      </w:r>
      <w:proofErr w:type="spellStart"/>
      <w:r w:rsidRPr="00C520C3">
        <w:t>governance</w:t>
      </w:r>
      <w:proofErr w:type="spellEnd"/>
      <w:r w:rsidRPr="00C520C3">
        <w:t xml:space="preserve"> en een solide reputatie. Dit maakt de vermogensbeheerder het meest geschikt voor een belegging met een focus op verantwoord en duurzaam investeren.</w:t>
      </w:r>
    </w:p>
    <w:p w14:paraId="534816BF" w14:textId="77777777" w:rsidR="00EE37EA" w:rsidRPr="00C520C3" w:rsidRDefault="00EE37EA" w:rsidP="00EE37EA"/>
    <w:p w14:paraId="0F9D864A" w14:textId="77777777" w:rsidR="00EE37EA" w:rsidRPr="00C520C3" w:rsidRDefault="00EE37EA" w:rsidP="00EE37EA"/>
    <w:p w14:paraId="293583C0" w14:textId="77777777" w:rsidR="00EE37EA" w:rsidRPr="00C520C3" w:rsidRDefault="00EE37EA" w:rsidP="00EE37EA"/>
    <w:p w14:paraId="050C1F71" w14:textId="77777777" w:rsidR="00EE37EA" w:rsidRPr="00C520C3" w:rsidRDefault="00EE37EA" w:rsidP="00EE37EA"/>
    <w:p w14:paraId="3D1ED87D" w14:textId="77777777" w:rsidR="00EE37EA" w:rsidRPr="00C520C3" w:rsidRDefault="00EE37EA" w:rsidP="00EE37EA"/>
    <w:p w14:paraId="63641437" w14:textId="77777777" w:rsidR="00EE37EA" w:rsidRPr="00C520C3" w:rsidRDefault="00EE37EA" w:rsidP="00EE37EA">
      <w:r w:rsidRPr="00C520C3">
        <w:t xml:space="preserve">Met mijn andere collega’s en hun uitgebreide analyse zijn we tot de volgende vermogens beheerders gekomen: </w:t>
      </w:r>
    </w:p>
    <w:p w14:paraId="116875E6" w14:textId="77777777" w:rsidR="00EE37EA" w:rsidRPr="00C520C3" w:rsidRDefault="00EE37EA" w:rsidP="00E1671C">
      <w:pPr>
        <w:pStyle w:val="ListParagraph"/>
        <w:numPr>
          <w:ilvl w:val="0"/>
          <w:numId w:val="16"/>
        </w:numPr>
        <w:spacing w:line="259" w:lineRule="auto"/>
      </w:pPr>
      <w:r w:rsidRPr="00C520C3">
        <w:t xml:space="preserve">ASN Impact </w:t>
      </w:r>
      <w:proofErr w:type="spellStart"/>
      <w:r w:rsidRPr="00C520C3">
        <w:t>Investors</w:t>
      </w:r>
      <w:proofErr w:type="spellEnd"/>
      <w:r w:rsidRPr="00C520C3">
        <w:t xml:space="preserve"> </w:t>
      </w:r>
    </w:p>
    <w:p w14:paraId="6F7FABF4" w14:textId="77777777" w:rsidR="00EE37EA" w:rsidRPr="00C520C3" w:rsidRDefault="00EE37EA" w:rsidP="00E1671C">
      <w:pPr>
        <w:pStyle w:val="ListParagraph"/>
        <w:numPr>
          <w:ilvl w:val="0"/>
          <w:numId w:val="16"/>
        </w:numPr>
        <w:spacing w:line="259" w:lineRule="auto"/>
      </w:pPr>
      <w:r w:rsidRPr="00C520C3">
        <w:t xml:space="preserve">Robeco </w:t>
      </w:r>
    </w:p>
    <w:p w14:paraId="0FF4A0B6" w14:textId="77777777" w:rsidR="00EE37EA" w:rsidRPr="00C520C3" w:rsidRDefault="00EE37EA" w:rsidP="00E1671C">
      <w:pPr>
        <w:pStyle w:val="ListParagraph"/>
        <w:numPr>
          <w:ilvl w:val="0"/>
          <w:numId w:val="16"/>
        </w:numPr>
        <w:spacing w:line="259" w:lineRule="auto"/>
      </w:pPr>
      <w:r w:rsidRPr="00C520C3">
        <w:t>Allianz</w:t>
      </w:r>
    </w:p>
    <w:p w14:paraId="36C61D57" w14:textId="77777777" w:rsidR="00EE37EA" w:rsidRPr="00C520C3" w:rsidRDefault="00EE37EA" w:rsidP="00EE37EA"/>
    <w:p w14:paraId="6960676C" w14:textId="77777777" w:rsidR="00EE37EA" w:rsidRPr="00C520C3" w:rsidRDefault="00EE37EA" w:rsidP="00EE37EA"/>
    <w:p w14:paraId="326C8BC0" w14:textId="77777777" w:rsidR="00EE37EA" w:rsidRPr="00C520C3" w:rsidRDefault="00EE37EA" w:rsidP="00EE37EA">
      <w:pPr>
        <w:rPr>
          <w:b/>
          <w:bCs/>
          <w:sz w:val="30"/>
          <w:szCs w:val="30"/>
        </w:rPr>
      </w:pPr>
    </w:p>
    <w:p w14:paraId="093A25B6" w14:textId="77777777" w:rsidR="00EE37EA" w:rsidRPr="00C520C3" w:rsidRDefault="00EE37EA" w:rsidP="00EE37EA">
      <w:pPr>
        <w:rPr>
          <w:b/>
          <w:bCs/>
          <w:sz w:val="30"/>
          <w:szCs w:val="30"/>
        </w:rPr>
      </w:pPr>
    </w:p>
    <w:p w14:paraId="16C56C3F" w14:textId="77777777" w:rsidR="00EE37EA" w:rsidRPr="00C520C3" w:rsidRDefault="00EE37EA" w:rsidP="00EE37EA">
      <w:pPr>
        <w:rPr>
          <w:b/>
          <w:bCs/>
          <w:sz w:val="30"/>
          <w:szCs w:val="30"/>
        </w:rPr>
      </w:pPr>
    </w:p>
    <w:p w14:paraId="2ED6580C" w14:textId="77777777" w:rsidR="00EE37EA" w:rsidRPr="00C520C3" w:rsidRDefault="00EE37EA" w:rsidP="00EE37EA">
      <w:pPr>
        <w:rPr>
          <w:b/>
          <w:bCs/>
          <w:sz w:val="30"/>
          <w:szCs w:val="30"/>
        </w:rPr>
      </w:pPr>
    </w:p>
    <w:p w14:paraId="6FFC8FCF" w14:textId="77777777" w:rsidR="00EE37EA" w:rsidRPr="00C520C3" w:rsidRDefault="00EE37EA" w:rsidP="00EE37EA">
      <w:pPr>
        <w:rPr>
          <w:b/>
          <w:bCs/>
          <w:sz w:val="30"/>
          <w:szCs w:val="30"/>
        </w:rPr>
      </w:pPr>
    </w:p>
    <w:p w14:paraId="4725F508" w14:textId="77777777" w:rsidR="00EE37EA" w:rsidRPr="00C520C3" w:rsidRDefault="00EE37EA" w:rsidP="00EE37EA">
      <w:pPr>
        <w:rPr>
          <w:b/>
          <w:bCs/>
          <w:sz w:val="30"/>
          <w:szCs w:val="30"/>
        </w:rPr>
      </w:pPr>
    </w:p>
    <w:p w14:paraId="1635FF10" w14:textId="77777777" w:rsidR="00EE37EA" w:rsidRPr="00C520C3" w:rsidRDefault="00EE37EA" w:rsidP="00EE37EA">
      <w:pPr>
        <w:rPr>
          <w:b/>
          <w:bCs/>
          <w:sz w:val="30"/>
          <w:szCs w:val="30"/>
        </w:rPr>
      </w:pPr>
    </w:p>
    <w:p w14:paraId="3086C368" w14:textId="77777777" w:rsidR="00EE37EA" w:rsidRPr="00C520C3" w:rsidRDefault="00EE37EA" w:rsidP="00EE37EA">
      <w:pPr>
        <w:rPr>
          <w:b/>
          <w:bCs/>
          <w:sz w:val="30"/>
          <w:szCs w:val="30"/>
        </w:rPr>
      </w:pPr>
    </w:p>
    <w:p w14:paraId="3D034845" w14:textId="77777777" w:rsidR="00EE37EA" w:rsidRPr="00C520C3" w:rsidRDefault="00EE37EA" w:rsidP="00EE37EA">
      <w:pPr>
        <w:rPr>
          <w:b/>
          <w:bCs/>
          <w:sz w:val="30"/>
          <w:szCs w:val="30"/>
        </w:rPr>
      </w:pPr>
    </w:p>
    <w:p w14:paraId="41F85097" w14:textId="77777777" w:rsidR="00EE37EA" w:rsidRPr="00C520C3" w:rsidRDefault="00EE37EA" w:rsidP="00EE37EA">
      <w:pPr>
        <w:rPr>
          <w:b/>
          <w:bCs/>
          <w:sz w:val="30"/>
          <w:szCs w:val="30"/>
        </w:rPr>
      </w:pPr>
    </w:p>
    <w:p w14:paraId="6E387C4E" w14:textId="77777777" w:rsidR="00EE37EA" w:rsidRPr="00C520C3" w:rsidRDefault="00EE37EA" w:rsidP="00EE37EA">
      <w:pPr>
        <w:rPr>
          <w:b/>
          <w:bCs/>
          <w:sz w:val="30"/>
          <w:szCs w:val="30"/>
        </w:rPr>
      </w:pPr>
    </w:p>
    <w:p w14:paraId="0805B92C" w14:textId="77777777" w:rsidR="00EE37EA" w:rsidRPr="00C520C3" w:rsidRDefault="00EE37EA" w:rsidP="00EE37EA">
      <w:pPr>
        <w:rPr>
          <w:b/>
          <w:bCs/>
          <w:sz w:val="30"/>
          <w:szCs w:val="30"/>
        </w:rPr>
      </w:pPr>
    </w:p>
    <w:p w14:paraId="5E9D71C6" w14:textId="77777777" w:rsidR="00EE37EA" w:rsidRPr="00C520C3" w:rsidRDefault="00EE37EA" w:rsidP="00EE37EA">
      <w:pPr>
        <w:rPr>
          <w:b/>
          <w:bCs/>
          <w:sz w:val="30"/>
          <w:szCs w:val="30"/>
        </w:rPr>
      </w:pPr>
    </w:p>
    <w:p w14:paraId="592299E3" w14:textId="77777777" w:rsidR="00EE37EA" w:rsidRPr="00C520C3" w:rsidRDefault="00EE37EA" w:rsidP="00EE37EA">
      <w:pPr>
        <w:rPr>
          <w:b/>
          <w:bCs/>
          <w:sz w:val="30"/>
          <w:szCs w:val="30"/>
        </w:rPr>
      </w:pPr>
    </w:p>
    <w:p w14:paraId="1F7674F4" w14:textId="77777777" w:rsidR="00EE37EA" w:rsidRPr="00C520C3" w:rsidRDefault="00EE37EA" w:rsidP="00EE37EA">
      <w:pPr>
        <w:rPr>
          <w:b/>
          <w:bCs/>
          <w:sz w:val="30"/>
          <w:szCs w:val="30"/>
        </w:rPr>
      </w:pPr>
    </w:p>
    <w:p w14:paraId="1E71862A" w14:textId="77777777" w:rsidR="00EE37EA" w:rsidRPr="00C520C3" w:rsidRDefault="00EE37EA" w:rsidP="00EE37EA">
      <w:pPr>
        <w:rPr>
          <w:b/>
          <w:bCs/>
          <w:sz w:val="30"/>
          <w:szCs w:val="30"/>
        </w:rPr>
      </w:pPr>
    </w:p>
    <w:p w14:paraId="0434C4B7" w14:textId="77777777" w:rsidR="00EE37EA" w:rsidRPr="00C520C3" w:rsidRDefault="00EE37EA" w:rsidP="00EE37EA">
      <w:pPr>
        <w:rPr>
          <w:b/>
          <w:bCs/>
          <w:sz w:val="30"/>
          <w:szCs w:val="30"/>
        </w:rPr>
      </w:pPr>
    </w:p>
    <w:p w14:paraId="776B5095" w14:textId="77777777" w:rsidR="00EE37EA" w:rsidRPr="00C520C3" w:rsidRDefault="00EE37EA" w:rsidP="00EE37EA">
      <w:pPr>
        <w:rPr>
          <w:b/>
          <w:bCs/>
          <w:sz w:val="30"/>
          <w:szCs w:val="30"/>
        </w:rPr>
      </w:pPr>
    </w:p>
    <w:p w14:paraId="6AFF557E" w14:textId="77777777" w:rsidR="00EE37EA" w:rsidRPr="00C520C3" w:rsidRDefault="00EE37EA" w:rsidP="00EE37EA">
      <w:pPr>
        <w:pStyle w:val="Heading1"/>
      </w:pPr>
    </w:p>
    <w:p w14:paraId="607FBC3B" w14:textId="77777777" w:rsidR="00EE37EA" w:rsidRPr="00C520C3" w:rsidRDefault="4ECF2E88" w:rsidP="00EE37EA">
      <w:pPr>
        <w:pStyle w:val="Heading1"/>
      </w:pPr>
      <w:bookmarkStart w:id="15" w:name="_Toc215578228"/>
      <w:bookmarkStart w:id="16" w:name="_Toc1528992137"/>
      <w:r>
        <w:t>Selectie aandelenfondsen</w:t>
      </w:r>
      <w:bookmarkEnd w:id="15"/>
      <w:bookmarkEnd w:id="16"/>
      <w:r>
        <w:t xml:space="preserve">  </w:t>
      </w:r>
    </w:p>
    <w:p w14:paraId="1F650E35" w14:textId="77777777" w:rsidR="00EE37EA" w:rsidRPr="00C520C3" w:rsidRDefault="00EE37EA" w:rsidP="00EE37EA">
      <w:pPr>
        <w:rPr>
          <w:b/>
          <w:bCs/>
          <w:sz w:val="30"/>
          <w:szCs w:val="30"/>
        </w:rPr>
      </w:pPr>
    </w:p>
    <w:p w14:paraId="02DEDAE1" w14:textId="77777777" w:rsidR="00EE37EA" w:rsidRPr="00C520C3" w:rsidRDefault="4ECF2E88" w:rsidP="00EE37EA">
      <w:pPr>
        <w:pStyle w:val="Heading2"/>
      </w:pPr>
      <w:bookmarkStart w:id="17" w:name="_Toc215578229"/>
      <w:bookmarkStart w:id="18" w:name="_Toc1862443638"/>
      <w:r>
        <w:t>ASN:</w:t>
      </w:r>
      <w:bookmarkEnd w:id="17"/>
      <w:bookmarkEnd w:id="18"/>
    </w:p>
    <w:p w14:paraId="3A7F9220" w14:textId="77777777" w:rsidR="00EE37EA" w:rsidRPr="00C520C3" w:rsidRDefault="00EE37EA" w:rsidP="00EE37EA">
      <w:pPr>
        <w:rPr>
          <w:b/>
          <w:bCs/>
        </w:rPr>
      </w:pPr>
      <w:r w:rsidRPr="00C520C3">
        <w:rPr>
          <w:b/>
          <w:bCs/>
        </w:rPr>
        <w:t xml:space="preserve">Fondsdocumenten: </w:t>
      </w:r>
    </w:p>
    <w:p w14:paraId="4B15ABCB" w14:textId="77777777" w:rsidR="00EE37EA" w:rsidRPr="00C520C3" w:rsidRDefault="00EE37EA" w:rsidP="00EE37EA">
      <w:hyperlink r:id="rId19" w:history="1">
        <w:r w:rsidRPr="00C520C3">
          <w:rPr>
            <w:rStyle w:val="Hyperlink"/>
          </w:rPr>
          <w:t>2025 ASN II Duurzaamheidsinformatie ASN Duurzaam Aandelenfonds.pdf</w:t>
        </w:r>
      </w:hyperlink>
      <w:r w:rsidRPr="00C520C3">
        <w:t xml:space="preserve"> </w:t>
      </w:r>
    </w:p>
    <w:p w14:paraId="196C773F" w14:textId="77777777" w:rsidR="00EE37EA" w:rsidRPr="00C520C3" w:rsidRDefault="00EE37EA" w:rsidP="00EE37EA">
      <w:hyperlink r:id="rId20" w:history="1">
        <w:proofErr w:type="spellStart"/>
        <w:r w:rsidRPr="00C520C3">
          <w:rPr>
            <w:rStyle w:val="Hyperlink"/>
          </w:rPr>
          <w:t>Factsheet</w:t>
        </w:r>
        <w:proofErr w:type="spellEnd"/>
        <w:r w:rsidRPr="00C520C3">
          <w:rPr>
            <w:rStyle w:val="Hyperlink"/>
          </w:rPr>
          <w:t xml:space="preserve"> ASN Duurzaam Aandelenfonds R-09.pdf</w:t>
        </w:r>
      </w:hyperlink>
    </w:p>
    <w:p w14:paraId="71275FF6" w14:textId="77777777" w:rsidR="00EE37EA" w:rsidRPr="00C520C3" w:rsidRDefault="00EE37EA" w:rsidP="00EE37EA">
      <w:hyperlink r:id="rId21" w:history="1">
        <w:r w:rsidRPr="00C520C3">
          <w:rPr>
            <w:rStyle w:val="Hyperlink"/>
          </w:rPr>
          <w:t>EID ASN</w:t>
        </w:r>
      </w:hyperlink>
    </w:p>
    <w:p w14:paraId="0E99436D" w14:textId="77777777" w:rsidR="00EE37EA" w:rsidRPr="00C520C3" w:rsidRDefault="00EE37EA" w:rsidP="00EE37EA">
      <w:hyperlink r:id="rId22" w:history="1">
        <w:r w:rsidRPr="00C520C3">
          <w:rPr>
            <w:rStyle w:val="Hyperlink"/>
          </w:rPr>
          <w:t>https://www.asnbank.nl/beleggen/beleggingsfondsen/asn-duurzaam-aandelenfonds/fondsdocumenten.html</w:t>
        </w:r>
      </w:hyperlink>
      <w:r w:rsidRPr="00C520C3">
        <w:t xml:space="preserve"> </w:t>
      </w:r>
    </w:p>
    <w:p w14:paraId="28BC652C" w14:textId="77777777" w:rsidR="00EE37EA" w:rsidRPr="00C520C3" w:rsidRDefault="00EE37EA" w:rsidP="00EE37EA"/>
    <w:p w14:paraId="5E8201C7" w14:textId="77777777" w:rsidR="00EE37EA" w:rsidRPr="00C520C3" w:rsidRDefault="00EE37EA" w:rsidP="00EE37EA">
      <w:r w:rsidRPr="00C520C3">
        <w:t>Als financieel adviesbureau vinden wij het belangrijk om beleggingsoplossingen te selecteren die niet alleen gericht zijn op financieel rendement, maar ook bijdragen aan een duurzame, rechtvaardige en toekomstbestendige samenleving. Steeds meer van onze klanten willen hun kapitaal laten groeien op een manier die positieve impact heeft op milieu, mens en maatschappij.</w:t>
      </w:r>
    </w:p>
    <w:p w14:paraId="3C8B235C" w14:textId="77777777" w:rsidR="00EE37EA" w:rsidRPr="00C520C3" w:rsidRDefault="00EE37EA" w:rsidP="00EE37EA">
      <w:r w:rsidRPr="00C520C3">
        <w:t xml:space="preserve">Daarom hebben wij gekozen voor het ASN Duurzaam Aandelenfonds, een fonds dat duurzaamheid niet als marketinginstrument inzet, maar als de kern van zijn beleggingsstrategie. Uit alle drie de documenten blijkt dat ASN Impact </w:t>
      </w:r>
      <w:proofErr w:type="spellStart"/>
      <w:r w:rsidRPr="00C520C3">
        <w:t>Investors</w:t>
      </w:r>
      <w:proofErr w:type="spellEnd"/>
      <w:r w:rsidRPr="00C520C3">
        <w:t xml:space="preserve"> een voortrekkersrol speelt op het gebied van duurzaam beleggen en transparante impactmeting.</w:t>
      </w:r>
    </w:p>
    <w:p w14:paraId="40D841C2" w14:textId="77777777" w:rsidR="00EE37EA" w:rsidRPr="00C520C3" w:rsidRDefault="00EE37EA" w:rsidP="00EE37EA"/>
    <w:p w14:paraId="435F984D" w14:textId="77777777" w:rsidR="00EE37EA" w:rsidRPr="00C520C3" w:rsidRDefault="00EE37EA" w:rsidP="00EE37EA">
      <w:pPr>
        <w:rPr>
          <w:b/>
          <w:bCs/>
        </w:rPr>
      </w:pPr>
      <w:r w:rsidRPr="00C520C3">
        <w:rPr>
          <w:b/>
          <w:bCs/>
        </w:rPr>
        <w:t>Doelstellingen van het fonds: duurzame impact én financieel rendement</w:t>
      </w:r>
    </w:p>
    <w:p w14:paraId="4562A03C" w14:textId="77777777" w:rsidR="00EE37EA" w:rsidRPr="00C520C3" w:rsidRDefault="00EE37EA" w:rsidP="00EE37EA">
      <w:r w:rsidRPr="00C520C3">
        <w:t xml:space="preserve">Volgens het </w:t>
      </w:r>
      <w:r w:rsidRPr="00C520C3">
        <w:rPr>
          <w:i/>
          <w:iCs/>
          <w:highlight w:val="lightGray"/>
        </w:rPr>
        <w:t>Essentiële-informatiedocument</w:t>
      </w:r>
      <w:r w:rsidRPr="00C520C3">
        <w:t xml:space="preserve"> heeft het fonds twee duurzame doelstellingen en één financiële doelstelling:</w:t>
      </w:r>
    </w:p>
    <w:p w14:paraId="73A9E49A" w14:textId="77777777" w:rsidR="00EE37EA" w:rsidRPr="00C520C3" w:rsidRDefault="00EE37EA" w:rsidP="00E1671C">
      <w:pPr>
        <w:numPr>
          <w:ilvl w:val="0"/>
          <w:numId w:val="17"/>
        </w:numPr>
        <w:spacing w:line="259" w:lineRule="auto"/>
      </w:pPr>
      <w:r w:rsidRPr="00C520C3">
        <w:t>Het verminderen van CO₂-uitstoot per jaar in lijn met de Overeenkomst van Parijs.</w:t>
      </w:r>
    </w:p>
    <w:p w14:paraId="57B3DABC" w14:textId="77777777" w:rsidR="00EE37EA" w:rsidRPr="00C520C3" w:rsidRDefault="00EE37EA" w:rsidP="00E1671C">
      <w:pPr>
        <w:numPr>
          <w:ilvl w:val="0"/>
          <w:numId w:val="17"/>
        </w:numPr>
        <w:spacing w:line="259" w:lineRule="auto"/>
      </w:pPr>
      <w:r w:rsidRPr="00C520C3">
        <w:t>Het verkleinen van de negatieve impact op biodiversiteit per geïnvesteerde euro.</w:t>
      </w:r>
    </w:p>
    <w:p w14:paraId="29DB42A1" w14:textId="77777777" w:rsidR="00EE37EA" w:rsidRPr="00C520C3" w:rsidRDefault="00EE37EA" w:rsidP="00E1671C">
      <w:pPr>
        <w:numPr>
          <w:ilvl w:val="0"/>
          <w:numId w:val="17"/>
        </w:numPr>
        <w:spacing w:line="259" w:lineRule="auto"/>
      </w:pPr>
      <w:r w:rsidRPr="00C520C3">
        <w:t xml:space="preserve">Het realiseren van </w:t>
      </w:r>
      <w:proofErr w:type="spellStart"/>
      <w:r w:rsidRPr="00C520C3">
        <w:t>langetermijnvermogensgroei</w:t>
      </w:r>
      <w:proofErr w:type="spellEnd"/>
      <w:r w:rsidRPr="00C520C3">
        <w:t xml:space="preserve"> door wereldwijd te beleggen in beursgenoteerde ondernemingen met gezonde financiële vooruitzichten</w:t>
      </w:r>
    </w:p>
    <w:p w14:paraId="5B97D648" w14:textId="77777777" w:rsidR="00EE37EA" w:rsidRPr="00C520C3" w:rsidRDefault="00EE37EA" w:rsidP="00EE37EA">
      <w:r w:rsidRPr="00C520C3">
        <w:t xml:space="preserve">Deze duurzame doelstellingen worden verder uitgewerkt in het document </w:t>
      </w:r>
      <w:r w:rsidRPr="00C520C3">
        <w:rPr>
          <w:i/>
          <w:iCs/>
          <w:highlight w:val="lightGray"/>
        </w:rPr>
        <w:t>Duurzaamheidsinformatie ASN Duurzaam Aandelenfonds (2025)</w:t>
      </w:r>
      <w:r w:rsidRPr="00C520C3">
        <w:rPr>
          <w:highlight w:val="lightGray"/>
        </w:rPr>
        <w:t>,</w:t>
      </w:r>
      <w:r w:rsidRPr="00C520C3">
        <w:t xml:space="preserve"> waarin wordt beschreven dat het fonds zijn duurzaamheidsindicatoren afstemt op de </w:t>
      </w:r>
      <w:proofErr w:type="spellStart"/>
      <w:r w:rsidRPr="00C520C3">
        <w:t>Sustainable</w:t>
      </w:r>
      <w:proofErr w:type="spellEnd"/>
      <w:r w:rsidRPr="00C520C3">
        <w:t xml:space="preserve"> Development Goals (</w:t>
      </w:r>
      <w:proofErr w:type="spellStart"/>
      <w:r w:rsidRPr="00C520C3">
        <w:t>SDG’s</w:t>
      </w:r>
      <w:proofErr w:type="spellEnd"/>
      <w:r w:rsidRPr="00C520C3">
        <w:t>):</w:t>
      </w:r>
    </w:p>
    <w:p w14:paraId="6B04600B" w14:textId="77777777" w:rsidR="00EE37EA" w:rsidRPr="00C520C3" w:rsidRDefault="00EE37EA" w:rsidP="00E1671C">
      <w:pPr>
        <w:numPr>
          <w:ilvl w:val="0"/>
          <w:numId w:val="18"/>
        </w:numPr>
        <w:spacing w:line="259" w:lineRule="auto"/>
      </w:pPr>
      <w:r w:rsidRPr="00C520C3">
        <w:t>SDG 8: Eerlijk werk en economische groei,</w:t>
      </w:r>
    </w:p>
    <w:p w14:paraId="21E588AC" w14:textId="77777777" w:rsidR="00EE37EA" w:rsidRPr="00C520C3" w:rsidRDefault="00EE37EA" w:rsidP="00E1671C">
      <w:pPr>
        <w:numPr>
          <w:ilvl w:val="0"/>
          <w:numId w:val="18"/>
        </w:numPr>
        <w:spacing w:line="259" w:lineRule="auto"/>
      </w:pPr>
      <w:r w:rsidRPr="00C520C3">
        <w:t>SDG 9: Industrie, innovatie en infrastructuur,</w:t>
      </w:r>
    </w:p>
    <w:p w14:paraId="7DB8FFEE" w14:textId="77777777" w:rsidR="00EE37EA" w:rsidRPr="00C520C3" w:rsidRDefault="00EE37EA" w:rsidP="00E1671C">
      <w:pPr>
        <w:numPr>
          <w:ilvl w:val="0"/>
          <w:numId w:val="18"/>
        </w:numPr>
        <w:spacing w:line="259" w:lineRule="auto"/>
      </w:pPr>
      <w:r w:rsidRPr="00C520C3">
        <w:t>SDG 12: Verantwoorde consumptie en productie,</w:t>
      </w:r>
    </w:p>
    <w:p w14:paraId="3D3F384F" w14:textId="77777777" w:rsidR="00EE37EA" w:rsidRPr="00C520C3" w:rsidRDefault="00EE37EA" w:rsidP="00E1671C">
      <w:pPr>
        <w:numPr>
          <w:ilvl w:val="0"/>
          <w:numId w:val="18"/>
        </w:numPr>
        <w:spacing w:line="259" w:lineRule="auto"/>
      </w:pPr>
      <w:r w:rsidRPr="00C520C3">
        <w:t>SDG 13: Klimaatactie</w:t>
      </w:r>
    </w:p>
    <w:p w14:paraId="3D600970" w14:textId="77777777" w:rsidR="00EE37EA" w:rsidRPr="00C520C3" w:rsidRDefault="00EE37EA" w:rsidP="00EE37EA">
      <w:r w:rsidRPr="00C520C3">
        <w:t>Het fonds rapporteert bovendien onder artikel 9 van de EU-SFDR, wat inhoudt dat het officieel erkend is als een product met een duurzame beleggingsdoelstelling. Dit is het hoogste duurzaamheidsniveau binnen de Europese regelgeving.</w:t>
      </w:r>
    </w:p>
    <w:p w14:paraId="2856E641" w14:textId="77777777" w:rsidR="00EE37EA" w:rsidRPr="00C520C3" w:rsidRDefault="00EE37EA" w:rsidP="00EE37EA">
      <w:r w:rsidRPr="00C520C3">
        <w:t>Voor onze klanten betekent dit concreet dat hun belegging niet alleen financieel rendement nastreeft, maar ook een aantoonbare bijdrage levert aan de energietransitie, biodiversiteitsbehoud en sociale rechtvaardigheid.</w:t>
      </w:r>
    </w:p>
    <w:p w14:paraId="28CC19EA" w14:textId="77777777" w:rsidR="00EE37EA" w:rsidRPr="00C520C3" w:rsidRDefault="00EE37EA" w:rsidP="00EE37EA"/>
    <w:p w14:paraId="390AF8BB" w14:textId="77777777" w:rsidR="00EE37EA" w:rsidRPr="00C520C3" w:rsidRDefault="00EE37EA" w:rsidP="00EE37EA">
      <w:pPr>
        <w:rPr>
          <w:b/>
          <w:bCs/>
        </w:rPr>
      </w:pPr>
      <w:r w:rsidRPr="00C520C3">
        <w:rPr>
          <w:b/>
          <w:bCs/>
        </w:rPr>
        <w:t>Strikt duurzaamheidsbeleid en zorgvuldige selectie</w:t>
      </w:r>
    </w:p>
    <w:p w14:paraId="74F4E5C9" w14:textId="77777777" w:rsidR="00EE37EA" w:rsidRPr="00C520C3" w:rsidRDefault="00EE37EA" w:rsidP="00EE37EA">
      <w:r w:rsidRPr="00C520C3">
        <w:t xml:space="preserve">Wat dit fonds onderscheidt van veel andere duurzame producten, is de diepgaande duurzaamheidsbeoordeling die ASN Impact </w:t>
      </w:r>
      <w:proofErr w:type="spellStart"/>
      <w:r w:rsidRPr="00C520C3">
        <w:t>Investors</w:t>
      </w:r>
      <w:proofErr w:type="spellEnd"/>
      <w:r w:rsidRPr="00C520C3">
        <w:t xml:space="preserve"> toepast voordat een onderneming in aanmerking komt om in te beleggen.</w:t>
      </w:r>
    </w:p>
    <w:p w14:paraId="722057A3" w14:textId="77777777" w:rsidR="00EE37EA" w:rsidRPr="00C520C3" w:rsidRDefault="00EE37EA" w:rsidP="00EE37EA">
      <w:pPr>
        <w:rPr>
          <w:b/>
          <w:bCs/>
        </w:rPr>
      </w:pPr>
      <w:r w:rsidRPr="00C520C3">
        <w:rPr>
          <w:b/>
          <w:bCs/>
        </w:rPr>
        <w:t>Uitsluitingscriteria</w:t>
      </w:r>
    </w:p>
    <w:p w14:paraId="5DCEFFB9" w14:textId="77777777" w:rsidR="00EE37EA" w:rsidRPr="00C520C3" w:rsidRDefault="00EE37EA" w:rsidP="00EE37EA">
      <w:r w:rsidRPr="00C520C3">
        <w:t xml:space="preserve">Uit het document </w:t>
      </w:r>
      <w:r w:rsidRPr="00C520C3">
        <w:rPr>
          <w:i/>
          <w:iCs/>
          <w:highlight w:val="lightGray"/>
        </w:rPr>
        <w:t>Duurzaamheidsinformatie</w:t>
      </w:r>
      <w:r w:rsidRPr="00C520C3">
        <w:t xml:space="preserve"> blijkt dat het fonds een uitgebreid uitsluitingsbeleid hanteert op basis van vijf pijlers: klimaat, biodiversiteit, mensenrechten, </w:t>
      </w:r>
      <w:proofErr w:type="spellStart"/>
      <w:r w:rsidRPr="00C520C3">
        <w:t>governance</w:t>
      </w:r>
      <w:proofErr w:type="spellEnd"/>
      <w:r w:rsidRPr="00C520C3">
        <w:t xml:space="preserve"> en dierenwelzijn. Bedrijven worden uitgesloten als zij:</w:t>
      </w:r>
    </w:p>
    <w:p w14:paraId="6935519E" w14:textId="77777777" w:rsidR="00EE37EA" w:rsidRPr="00C520C3" w:rsidRDefault="00EE37EA" w:rsidP="00E1671C">
      <w:pPr>
        <w:numPr>
          <w:ilvl w:val="0"/>
          <w:numId w:val="19"/>
        </w:numPr>
        <w:spacing w:line="259" w:lineRule="auto"/>
      </w:pPr>
      <w:r w:rsidRPr="00C520C3">
        <w:t>Actief zijn in de productie van fossiele brandstoffen of kernenergie,</w:t>
      </w:r>
    </w:p>
    <w:p w14:paraId="3D890C71" w14:textId="77777777" w:rsidR="00EE37EA" w:rsidRPr="00C520C3" w:rsidRDefault="00EE37EA" w:rsidP="00E1671C">
      <w:pPr>
        <w:numPr>
          <w:ilvl w:val="0"/>
          <w:numId w:val="19"/>
        </w:numPr>
        <w:spacing w:line="259" w:lineRule="auto"/>
      </w:pPr>
      <w:r w:rsidRPr="00C520C3">
        <w:t>Betrokken zijn bij ontbossing of ernstige vervuiling,</w:t>
      </w:r>
    </w:p>
    <w:p w14:paraId="4DAF100F" w14:textId="77777777" w:rsidR="00EE37EA" w:rsidRPr="00C520C3" w:rsidRDefault="00EE37EA" w:rsidP="00E1671C">
      <w:pPr>
        <w:numPr>
          <w:ilvl w:val="0"/>
          <w:numId w:val="19"/>
        </w:numPr>
        <w:spacing w:line="259" w:lineRule="auto"/>
      </w:pPr>
      <w:r w:rsidRPr="00C520C3">
        <w:t>Mensenrechten schenden of wapens produceren,</w:t>
      </w:r>
    </w:p>
    <w:p w14:paraId="5007F474" w14:textId="77777777" w:rsidR="00EE37EA" w:rsidRPr="00C520C3" w:rsidRDefault="00EE37EA" w:rsidP="00E1671C">
      <w:pPr>
        <w:numPr>
          <w:ilvl w:val="0"/>
          <w:numId w:val="19"/>
        </w:numPr>
        <w:spacing w:line="259" w:lineRule="auto"/>
      </w:pPr>
      <w:r w:rsidRPr="00C520C3">
        <w:t>Geen beleid hebben tegen corruptie of kinderarbeid,</w:t>
      </w:r>
    </w:p>
    <w:p w14:paraId="5C39DA49" w14:textId="77777777" w:rsidR="00EE37EA" w:rsidRPr="00C520C3" w:rsidRDefault="00EE37EA" w:rsidP="00E1671C">
      <w:pPr>
        <w:numPr>
          <w:ilvl w:val="0"/>
          <w:numId w:val="19"/>
        </w:numPr>
        <w:spacing w:line="259" w:lineRule="auto"/>
      </w:pPr>
      <w:r w:rsidRPr="00C520C3">
        <w:t>Of niet voldoen aan de richtlijnen van de OESO en VN inzake mensenrechten</w:t>
      </w:r>
    </w:p>
    <w:p w14:paraId="3277FBAF" w14:textId="77777777" w:rsidR="00EE37EA" w:rsidRPr="00C520C3" w:rsidRDefault="00EE37EA" w:rsidP="00EE37EA">
      <w:pPr>
        <w:rPr>
          <w:b/>
          <w:bCs/>
        </w:rPr>
      </w:pPr>
      <w:r w:rsidRPr="00C520C3">
        <w:rPr>
          <w:b/>
          <w:bCs/>
        </w:rPr>
        <w:t>Positieve selectie</w:t>
      </w:r>
    </w:p>
    <w:p w14:paraId="3FFF4842" w14:textId="77777777" w:rsidR="00EE37EA" w:rsidRPr="00C520C3" w:rsidRDefault="00EE37EA" w:rsidP="00EE37EA">
      <w:r w:rsidRPr="00C520C3">
        <w:t xml:space="preserve">Alleen ondernemingen die een positieve bijdrage leveren aan de duurzame doelstellingen worden toegelaten tot het zogeheten </w:t>
      </w:r>
      <w:r w:rsidRPr="00C520C3">
        <w:rPr>
          <w:i/>
          <w:iCs/>
        </w:rPr>
        <w:t>Beleggingsuniversum</w:t>
      </w:r>
      <w:r w:rsidRPr="00C520C3">
        <w:t xml:space="preserve">. Daarbij kijkt ASN Impact </w:t>
      </w:r>
      <w:proofErr w:type="spellStart"/>
      <w:r w:rsidRPr="00C520C3">
        <w:t>Investors</w:t>
      </w:r>
      <w:proofErr w:type="spellEnd"/>
      <w:r w:rsidRPr="00C520C3">
        <w:t xml:space="preserve"> ook naar goed bestuur, transparantie, toeleveringsketens en ethisch gedrag van werknemers. Bedrijven worden minimaal eens per vier jaar opnieuw beoordeeld</w:t>
      </w:r>
    </w:p>
    <w:p w14:paraId="3F83E418" w14:textId="77777777" w:rsidR="00EE37EA" w:rsidRPr="00C520C3" w:rsidRDefault="00EE37EA" w:rsidP="00EE37EA">
      <w:r w:rsidRPr="00C520C3">
        <w:t>Voor onze klanten betekent dit dat hun geld wordt belegd in ondernemingen die daadwerkelijk bijdragen aan de duurzame transitie, en niet in bedrijven die enkel een ‘groene marketingstrategie’ voeren.</w:t>
      </w:r>
    </w:p>
    <w:p w14:paraId="41D23793" w14:textId="77777777" w:rsidR="00EE37EA" w:rsidRPr="00C520C3" w:rsidRDefault="00EE37EA" w:rsidP="00EE37EA"/>
    <w:p w14:paraId="38AAC77D" w14:textId="77777777" w:rsidR="00EE37EA" w:rsidRPr="00C520C3" w:rsidRDefault="00EE37EA" w:rsidP="00EE37EA">
      <w:pPr>
        <w:rPr>
          <w:b/>
          <w:bCs/>
        </w:rPr>
      </w:pPr>
      <w:r w:rsidRPr="00C520C3">
        <w:rPr>
          <w:b/>
          <w:bCs/>
        </w:rPr>
        <w:t>Meetbare duurzaamheid: van CO₂ tot biodiversiteit</w:t>
      </w:r>
    </w:p>
    <w:p w14:paraId="0AB3CC06" w14:textId="77777777" w:rsidR="00EE37EA" w:rsidRPr="00C520C3" w:rsidRDefault="00EE37EA" w:rsidP="00EE37EA">
      <w:r w:rsidRPr="00C520C3">
        <w:t xml:space="preserve">Een van de belangrijkste redenen waarom wij dit fonds aanbevelen, is dat ASN Impact </w:t>
      </w:r>
      <w:proofErr w:type="spellStart"/>
      <w:r w:rsidRPr="00C520C3">
        <w:t>Investors</w:t>
      </w:r>
      <w:proofErr w:type="spellEnd"/>
      <w:r w:rsidRPr="00C520C3">
        <w:t xml:space="preserve"> duurzaamheid niet alleen beschouwt als een principe, maar ook concreet meetbaar maakt.</w:t>
      </w:r>
    </w:p>
    <w:p w14:paraId="2EA6ABD7" w14:textId="77777777" w:rsidR="00EE37EA" w:rsidRPr="00C520C3" w:rsidRDefault="00EE37EA" w:rsidP="00EE37EA">
      <w:r w:rsidRPr="00C520C3">
        <w:t xml:space="preserve">Volgens de </w:t>
      </w:r>
      <w:r w:rsidRPr="00C520C3">
        <w:rPr>
          <w:i/>
          <w:iCs/>
          <w:highlight w:val="lightGray"/>
        </w:rPr>
        <w:t>Duurzaamheidsinformatie</w:t>
      </w:r>
      <w:r w:rsidRPr="00C520C3">
        <w:t xml:space="preserve"> gebruikt ASN drie internationaal erkende methodologieën:</w:t>
      </w:r>
    </w:p>
    <w:p w14:paraId="4B1B30A5" w14:textId="77777777" w:rsidR="00EE37EA" w:rsidRPr="00C520C3" w:rsidRDefault="00EE37EA" w:rsidP="00E1671C">
      <w:pPr>
        <w:numPr>
          <w:ilvl w:val="0"/>
          <w:numId w:val="20"/>
        </w:numPr>
        <w:spacing w:line="259" w:lineRule="auto"/>
      </w:pPr>
      <w:r w:rsidRPr="00C520C3">
        <w:t xml:space="preserve">PCAF (Partnership </w:t>
      </w:r>
      <w:proofErr w:type="spellStart"/>
      <w:r w:rsidRPr="00C520C3">
        <w:t>for</w:t>
      </w:r>
      <w:proofErr w:type="spellEnd"/>
      <w:r w:rsidRPr="00C520C3">
        <w:t xml:space="preserve"> Carbon Accounting Financials): meet de daadwerkelijke CO₂-uitstoot van bedrijven, inclusief scope 1, 2 en 3-emissies.</w:t>
      </w:r>
    </w:p>
    <w:p w14:paraId="6D26061A" w14:textId="77777777" w:rsidR="00EE37EA" w:rsidRPr="00C520C3" w:rsidRDefault="00EE37EA" w:rsidP="00E1671C">
      <w:pPr>
        <w:numPr>
          <w:ilvl w:val="0"/>
          <w:numId w:val="20"/>
        </w:numPr>
        <w:spacing w:line="259" w:lineRule="auto"/>
      </w:pPr>
      <w:r w:rsidRPr="00C520C3">
        <w:t>ITR (</w:t>
      </w:r>
      <w:proofErr w:type="spellStart"/>
      <w:r w:rsidRPr="00C520C3">
        <w:t>Implied</w:t>
      </w:r>
      <w:proofErr w:type="spellEnd"/>
      <w:r w:rsidRPr="00C520C3">
        <w:t xml:space="preserve"> </w:t>
      </w:r>
      <w:proofErr w:type="spellStart"/>
      <w:r w:rsidRPr="00C520C3">
        <w:t>Temperature</w:t>
      </w:r>
      <w:proofErr w:type="spellEnd"/>
      <w:r w:rsidRPr="00C520C3">
        <w:t xml:space="preserve"> Rise): berekent in graden Celsius hoe de totale portefeuille zich verhoudt tot de klimaatdoelen van Parijs.</w:t>
      </w:r>
    </w:p>
    <w:p w14:paraId="66C4FD51" w14:textId="77777777" w:rsidR="00EE37EA" w:rsidRPr="00C520C3" w:rsidRDefault="00EE37EA" w:rsidP="00E1671C">
      <w:pPr>
        <w:numPr>
          <w:ilvl w:val="0"/>
          <w:numId w:val="20"/>
        </w:numPr>
        <w:spacing w:line="259" w:lineRule="auto"/>
      </w:pPr>
      <w:r w:rsidRPr="00C520C3">
        <w:t>BFFI (</w:t>
      </w:r>
      <w:proofErr w:type="spellStart"/>
      <w:r w:rsidRPr="00C520C3">
        <w:t>Biodiversity</w:t>
      </w:r>
      <w:proofErr w:type="spellEnd"/>
      <w:r w:rsidRPr="00C520C3">
        <w:t xml:space="preserve"> Footprint </w:t>
      </w:r>
      <w:proofErr w:type="spellStart"/>
      <w:r w:rsidRPr="00C520C3">
        <w:t>for</w:t>
      </w:r>
      <w:proofErr w:type="spellEnd"/>
      <w:r w:rsidRPr="00C520C3">
        <w:t xml:space="preserve"> Financial </w:t>
      </w:r>
      <w:proofErr w:type="spellStart"/>
      <w:r w:rsidRPr="00C520C3">
        <w:t>Institutions</w:t>
      </w:r>
      <w:proofErr w:type="spellEnd"/>
      <w:r w:rsidRPr="00C520C3">
        <w:t>): bepaalt de impact op biodiversiteit in hectaren verlies of winst per geïnvesteerde euro</w:t>
      </w:r>
    </w:p>
    <w:p w14:paraId="2E36FF98" w14:textId="77777777" w:rsidR="00EE37EA" w:rsidRPr="00C520C3" w:rsidRDefault="00EE37EA" w:rsidP="00EE37EA">
      <w:r w:rsidRPr="00C520C3">
        <w:t xml:space="preserve">Deze aanpak maakt ASN Impact </w:t>
      </w:r>
      <w:proofErr w:type="spellStart"/>
      <w:r w:rsidRPr="00C520C3">
        <w:t>Investors</w:t>
      </w:r>
      <w:proofErr w:type="spellEnd"/>
      <w:r w:rsidRPr="00C520C3">
        <w:t xml:space="preserve"> uniek in Nederland: het is de enige partij die de biodiversiteitsvoetafdruk op deze manier rapporteert. Daarmee biedt het fonds onze klanten objectieve cijfers over hun milieueffect, iets wat bij andere fondsen vaak ontbreekt.</w:t>
      </w:r>
    </w:p>
    <w:p w14:paraId="0EF824AB" w14:textId="77777777" w:rsidR="00EE37EA" w:rsidRPr="00C520C3" w:rsidRDefault="00EE37EA" w:rsidP="00EE37EA"/>
    <w:p w14:paraId="60A35B4F" w14:textId="77777777" w:rsidR="00EE37EA" w:rsidRPr="00C520C3" w:rsidRDefault="00EE37EA" w:rsidP="00EE37EA">
      <w:pPr>
        <w:rPr>
          <w:b/>
          <w:bCs/>
        </w:rPr>
      </w:pPr>
      <w:r w:rsidRPr="00C520C3">
        <w:rPr>
          <w:b/>
          <w:bCs/>
        </w:rPr>
        <w:t>5. Wereldwijde spreiding en sectorale balans</w:t>
      </w:r>
    </w:p>
    <w:p w14:paraId="75F2BF76" w14:textId="77777777" w:rsidR="00EE37EA" w:rsidRPr="00C520C3" w:rsidRDefault="00EE37EA" w:rsidP="00EE37EA">
      <w:r w:rsidRPr="00C520C3">
        <w:t xml:space="preserve">Volgens de </w:t>
      </w:r>
      <w:proofErr w:type="spellStart"/>
      <w:r w:rsidRPr="00C520C3">
        <w:rPr>
          <w:i/>
          <w:iCs/>
          <w:highlight w:val="lightGray"/>
        </w:rPr>
        <w:t>Factsheet</w:t>
      </w:r>
      <w:proofErr w:type="spellEnd"/>
      <w:r w:rsidRPr="00C520C3">
        <w:rPr>
          <w:i/>
          <w:iCs/>
          <w:highlight w:val="lightGray"/>
        </w:rPr>
        <w:t xml:space="preserve"> ASN Duurzaam Aandelenfonds R (2025)</w:t>
      </w:r>
      <w:r w:rsidRPr="00C520C3">
        <w:t xml:space="preserve"> belegt het fonds wereldwijd in ongeveer honderd beursgenoteerde ondernemingen. De portefeuille is evenwichtig gespreid over verschillende regio’s en sectoren:</w:t>
      </w:r>
    </w:p>
    <w:p w14:paraId="7CA802EE" w14:textId="77777777" w:rsidR="00EE37EA" w:rsidRPr="00C520C3" w:rsidRDefault="00EE37EA" w:rsidP="00E1671C">
      <w:pPr>
        <w:numPr>
          <w:ilvl w:val="0"/>
          <w:numId w:val="21"/>
        </w:numPr>
        <w:spacing w:line="259" w:lineRule="auto"/>
      </w:pPr>
      <w:r w:rsidRPr="00C520C3">
        <w:t>Geografisch:</w:t>
      </w:r>
    </w:p>
    <w:p w14:paraId="54856869" w14:textId="77777777" w:rsidR="00EE37EA" w:rsidRPr="00C520C3" w:rsidRDefault="00EE37EA" w:rsidP="00E1671C">
      <w:pPr>
        <w:numPr>
          <w:ilvl w:val="0"/>
          <w:numId w:val="56"/>
        </w:numPr>
        <w:spacing w:line="259" w:lineRule="auto"/>
      </w:pPr>
      <w:r w:rsidRPr="00C520C3">
        <w:t xml:space="preserve"> 35,7 % Verenigde Staten, </w:t>
      </w:r>
    </w:p>
    <w:p w14:paraId="1D03590A" w14:textId="77777777" w:rsidR="00EE37EA" w:rsidRPr="00C520C3" w:rsidRDefault="00EE37EA" w:rsidP="00E1671C">
      <w:pPr>
        <w:numPr>
          <w:ilvl w:val="0"/>
          <w:numId w:val="56"/>
        </w:numPr>
        <w:spacing w:line="259" w:lineRule="auto"/>
      </w:pPr>
      <w:r w:rsidRPr="00C520C3">
        <w:t xml:space="preserve">13,9 % Verenigd Koninkrijk, </w:t>
      </w:r>
    </w:p>
    <w:p w14:paraId="247BA6C2" w14:textId="77777777" w:rsidR="00EE37EA" w:rsidRPr="00C520C3" w:rsidRDefault="00EE37EA" w:rsidP="00E1671C">
      <w:pPr>
        <w:numPr>
          <w:ilvl w:val="0"/>
          <w:numId w:val="56"/>
        </w:numPr>
        <w:spacing w:line="259" w:lineRule="auto"/>
      </w:pPr>
      <w:r w:rsidRPr="00C520C3">
        <w:t xml:space="preserve">8,9 % Nederland, </w:t>
      </w:r>
    </w:p>
    <w:p w14:paraId="36B916F3" w14:textId="77777777" w:rsidR="00EE37EA" w:rsidRPr="00C520C3" w:rsidRDefault="00EE37EA" w:rsidP="00E1671C">
      <w:pPr>
        <w:numPr>
          <w:ilvl w:val="0"/>
          <w:numId w:val="56"/>
        </w:numPr>
        <w:spacing w:line="259" w:lineRule="auto"/>
      </w:pPr>
      <w:r w:rsidRPr="00C520C3">
        <w:t xml:space="preserve">7,6 % Japan, </w:t>
      </w:r>
    </w:p>
    <w:p w14:paraId="75B24423" w14:textId="77777777" w:rsidR="00EE37EA" w:rsidRPr="00C520C3" w:rsidRDefault="00EE37EA" w:rsidP="00E1671C">
      <w:pPr>
        <w:numPr>
          <w:ilvl w:val="0"/>
          <w:numId w:val="56"/>
        </w:numPr>
        <w:spacing w:line="259" w:lineRule="auto"/>
      </w:pPr>
      <w:r w:rsidRPr="00C520C3">
        <w:t xml:space="preserve">7,2 % Zwitserland, </w:t>
      </w:r>
    </w:p>
    <w:p w14:paraId="52ECE714" w14:textId="77777777" w:rsidR="00EE37EA" w:rsidRPr="00C520C3" w:rsidRDefault="00EE37EA" w:rsidP="00E1671C">
      <w:pPr>
        <w:numPr>
          <w:ilvl w:val="0"/>
          <w:numId w:val="56"/>
        </w:numPr>
        <w:spacing w:line="259" w:lineRule="auto"/>
      </w:pPr>
      <w:r w:rsidRPr="00C520C3">
        <w:t xml:space="preserve">5,6 % Taiwan </w:t>
      </w:r>
    </w:p>
    <w:p w14:paraId="6569C78D" w14:textId="77777777" w:rsidR="00EE37EA" w:rsidRPr="00C520C3" w:rsidRDefault="00EE37EA" w:rsidP="00E1671C">
      <w:pPr>
        <w:numPr>
          <w:ilvl w:val="0"/>
          <w:numId w:val="56"/>
        </w:numPr>
        <w:spacing w:line="259" w:lineRule="auto"/>
      </w:pPr>
      <w:r w:rsidRPr="00C520C3">
        <w:t>4,2 % Australië.</w:t>
      </w:r>
    </w:p>
    <w:p w14:paraId="26194B89" w14:textId="77777777" w:rsidR="00EE37EA" w:rsidRPr="00C520C3" w:rsidRDefault="00EE37EA" w:rsidP="00E1671C">
      <w:pPr>
        <w:numPr>
          <w:ilvl w:val="0"/>
          <w:numId w:val="21"/>
        </w:numPr>
        <w:spacing w:line="259" w:lineRule="auto"/>
      </w:pPr>
      <w:r w:rsidRPr="00C520C3">
        <w:t>Sectoren:</w:t>
      </w:r>
    </w:p>
    <w:p w14:paraId="33737C0B" w14:textId="77777777" w:rsidR="00EE37EA" w:rsidRPr="00C520C3" w:rsidRDefault="00EE37EA" w:rsidP="00E1671C">
      <w:pPr>
        <w:numPr>
          <w:ilvl w:val="0"/>
          <w:numId w:val="57"/>
        </w:numPr>
        <w:spacing w:line="259" w:lineRule="auto"/>
      </w:pPr>
      <w:r w:rsidRPr="00C520C3">
        <w:t xml:space="preserve"> 43,8 % technologie, </w:t>
      </w:r>
    </w:p>
    <w:p w14:paraId="706A9174" w14:textId="77777777" w:rsidR="00EE37EA" w:rsidRPr="00C520C3" w:rsidRDefault="00EE37EA" w:rsidP="00E1671C">
      <w:pPr>
        <w:numPr>
          <w:ilvl w:val="0"/>
          <w:numId w:val="57"/>
        </w:numPr>
        <w:spacing w:line="259" w:lineRule="auto"/>
      </w:pPr>
      <w:r w:rsidRPr="00C520C3">
        <w:t xml:space="preserve">22,5 % basisindustrie, </w:t>
      </w:r>
    </w:p>
    <w:p w14:paraId="435AF8B7" w14:textId="77777777" w:rsidR="00EE37EA" w:rsidRPr="00C520C3" w:rsidRDefault="00EE37EA" w:rsidP="00E1671C">
      <w:pPr>
        <w:numPr>
          <w:ilvl w:val="0"/>
          <w:numId w:val="57"/>
        </w:numPr>
        <w:spacing w:line="259" w:lineRule="auto"/>
      </w:pPr>
      <w:r w:rsidRPr="00C520C3">
        <w:t xml:space="preserve">19,6 % gezondheidszorg, </w:t>
      </w:r>
    </w:p>
    <w:p w14:paraId="14045BC6" w14:textId="77777777" w:rsidR="00EE37EA" w:rsidRPr="00C520C3" w:rsidRDefault="00EE37EA" w:rsidP="00E1671C">
      <w:pPr>
        <w:numPr>
          <w:ilvl w:val="0"/>
          <w:numId w:val="57"/>
        </w:numPr>
        <w:spacing w:line="259" w:lineRule="auto"/>
      </w:pPr>
      <w:r w:rsidRPr="00C520C3">
        <w:t xml:space="preserve">8,3 % communicatie, </w:t>
      </w:r>
    </w:p>
    <w:p w14:paraId="064185DD" w14:textId="77777777" w:rsidR="00EE37EA" w:rsidRPr="00C520C3" w:rsidRDefault="00EE37EA" w:rsidP="00E1671C">
      <w:pPr>
        <w:numPr>
          <w:ilvl w:val="0"/>
          <w:numId w:val="57"/>
        </w:numPr>
        <w:spacing w:line="259" w:lineRule="auto"/>
      </w:pPr>
      <w:r w:rsidRPr="00C520C3">
        <w:t xml:space="preserve">1,6 % consument defensief, </w:t>
      </w:r>
    </w:p>
    <w:p w14:paraId="1AB914FA" w14:textId="77777777" w:rsidR="00EE37EA" w:rsidRPr="00C520C3" w:rsidRDefault="00EE37EA" w:rsidP="00E1671C">
      <w:pPr>
        <w:numPr>
          <w:ilvl w:val="0"/>
          <w:numId w:val="57"/>
        </w:numPr>
        <w:spacing w:line="259" w:lineRule="auto"/>
      </w:pPr>
      <w:r w:rsidRPr="00C520C3">
        <w:t xml:space="preserve">1,3 % nutsbedrijven </w:t>
      </w:r>
    </w:p>
    <w:p w14:paraId="49667C4F" w14:textId="77777777" w:rsidR="00EE37EA" w:rsidRPr="00C520C3" w:rsidRDefault="00EE37EA" w:rsidP="00E1671C">
      <w:pPr>
        <w:numPr>
          <w:ilvl w:val="0"/>
          <w:numId w:val="57"/>
        </w:numPr>
        <w:spacing w:line="259" w:lineRule="auto"/>
      </w:pPr>
      <w:r w:rsidRPr="00C520C3">
        <w:t>0,8 % vastgoed</w:t>
      </w:r>
    </w:p>
    <w:p w14:paraId="7BBBB318" w14:textId="77777777" w:rsidR="00EE37EA" w:rsidRPr="00C520C3" w:rsidRDefault="00EE37EA" w:rsidP="00EE37EA">
      <w:r w:rsidRPr="00C520C3">
        <w:t xml:space="preserve">De grootste posities zijn onder meer ASML, Nvidia, </w:t>
      </w:r>
      <w:proofErr w:type="spellStart"/>
      <w:r w:rsidRPr="00C520C3">
        <w:t>Applied</w:t>
      </w:r>
      <w:proofErr w:type="spellEnd"/>
      <w:r w:rsidRPr="00C520C3">
        <w:t xml:space="preserve"> </w:t>
      </w:r>
      <w:proofErr w:type="spellStart"/>
      <w:r w:rsidRPr="00C520C3">
        <w:t>Materials</w:t>
      </w:r>
      <w:proofErr w:type="spellEnd"/>
      <w:r w:rsidRPr="00C520C3">
        <w:t xml:space="preserve">, Lam Research, en Tokyo </w:t>
      </w:r>
      <w:proofErr w:type="spellStart"/>
      <w:r w:rsidRPr="00C520C3">
        <w:t>Electron</w:t>
      </w:r>
      <w:proofErr w:type="spellEnd"/>
      <w:r w:rsidRPr="00C520C3">
        <w:t xml:space="preserve"> bedrijven die actief bijdragen aan innovatie, digitalisering en energietransitie.</w:t>
      </w:r>
    </w:p>
    <w:p w14:paraId="6AD29C19" w14:textId="77777777" w:rsidR="00EE37EA" w:rsidRPr="00C520C3" w:rsidRDefault="00EE37EA" w:rsidP="00EE37EA">
      <w:r w:rsidRPr="00C520C3">
        <w:t>Deze brede spreiding maakt het fonds geschikt voor klanten die willen profiteren van de groei van duurzame sectoren, maar tegelijkertijd hun risico’s willen spreiden over meerdere regio’s en industrieën.</w:t>
      </w:r>
    </w:p>
    <w:p w14:paraId="2CBB5901" w14:textId="77777777" w:rsidR="00EE37EA" w:rsidRPr="00C520C3" w:rsidRDefault="00EE37EA" w:rsidP="00EE37EA"/>
    <w:p w14:paraId="2A5240D3" w14:textId="77777777" w:rsidR="00EE37EA" w:rsidRPr="00C520C3" w:rsidRDefault="00EE37EA" w:rsidP="00EE37EA">
      <w:pPr>
        <w:rPr>
          <w:b/>
          <w:bCs/>
        </w:rPr>
      </w:pPr>
      <w:r w:rsidRPr="00C520C3">
        <w:rPr>
          <w:b/>
          <w:bCs/>
        </w:rPr>
        <w:t>Rendement, risico en kosten: financieel verantwoord beleggen</w:t>
      </w:r>
    </w:p>
    <w:p w14:paraId="308DA0BE" w14:textId="77777777" w:rsidR="00EE37EA" w:rsidRPr="00C520C3" w:rsidRDefault="00EE37EA" w:rsidP="00EE37EA">
      <w:r w:rsidRPr="00C520C3">
        <w:t xml:space="preserve">Hoewel het fonds duidelijke duurzame doelen heeft, presteert het ook financieel sterk. Volgens de </w:t>
      </w:r>
      <w:proofErr w:type="spellStart"/>
      <w:r w:rsidRPr="00C520C3">
        <w:rPr>
          <w:i/>
          <w:iCs/>
        </w:rPr>
        <w:t>Factsheet</w:t>
      </w:r>
      <w:proofErr w:type="spellEnd"/>
      <w:r w:rsidRPr="00C520C3">
        <w:rPr>
          <w:i/>
          <w:iCs/>
        </w:rPr>
        <w:t xml:space="preserve"> (2025)</w:t>
      </w:r>
      <w:r w:rsidRPr="00C520C3">
        <w:t xml:space="preserve"> behaalde het fonds de volgende rendementen: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833"/>
        <w:gridCol w:w="5027"/>
      </w:tblGrid>
      <w:tr w:rsidR="00EE37EA" w:rsidRPr="00EE37EA" w14:paraId="32D7EF98" w14:textId="77777777" w:rsidTr="00F00533">
        <w:trPr>
          <w:tblHeader/>
          <w:tblCellSpacing w:w="15" w:type="dxa"/>
        </w:trPr>
        <w:tc>
          <w:tcPr>
            <w:tcW w:w="0" w:type="auto"/>
            <w:vAlign w:val="center"/>
            <w:hideMark/>
          </w:tcPr>
          <w:p w14:paraId="445C5471" w14:textId="77777777" w:rsidR="00EE37EA" w:rsidRPr="00C520C3" w:rsidRDefault="00EE37EA" w:rsidP="00F00533">
            <w:pPr>
              <w:rPr>
                <w:b/>
                <w:bCs/>
              </w:rPr>
            </w:pPr>
            <w:r w:rsidRPr="00C520C3">
              <w:rPr>
                <w:b/>
                <w:bCs/>
              </w:rPr>
              <w:t>Periode</w:t>
            </w:r>
          </w:p>
        </w:tc>
        <w:tc>
          <w:tcPr>
            <w:tcW w:w="0" w:type="auto"/>
            <w:vAlign w:val="center"/>
            <w:hideMark/>
          </w:tcPr>
          <w:p w14:paraId="25204E77" w14:textId="77777777" w:rsidR="00EE37EA" w:rsidRPr="00C520C3" w:rsidRDefault="00EE37EA" w:rsidP="00F00533">
            <w:pPr>
              <w:rPr>
                <w:b/>
                <w:bCs/>
              </w:rPr>
            </w:pPr>
            <w:r w:rsidRPr="00C520C3">
              <w:rPr>
                <w:b/>
                <w:bCs/>
              </w:rPr>
              <w:t>Fonds</w:t>
            </w:r>
          </w:p>
        </w:tc>
        <w:tc>
          <w:tcPr>
            <w:tcW w:w="0" w:type="auto"/>
            <w:vAlign w:val="center"/>
            <w:hideMark/>
          </w:tcPr>
          <w:p w14:paraId="636EF5C8" w14:textId="77777777" w:rsidR="00EE37EA" w:rsidRPr="00EE37EA" w:rsidRDefault="00EE37EA" w:rsidP="00F00533">
            <w:pPr>
              <w:rPr>
                <w:b/>
                <w:bCs/>
                <w:lang w:val="en-US"/>
              </w:rPr>
            </w:pPr>
            <w:r w:rsidRPr="00EE37EA">
              <w:rPr>
                <w:b/>
                <w:bCs/>
                <w:lang w:val="en-US"/>
              </w:rPr>
              <w:t>Benchmark (ACWI Climate Paris Aligned TR Index)</w:t>
            </w:r>
          </w:p>
        </w:tc>
      </w:tr>
      <w:tr w:rsidR="00EE37EA" w:rsidRPr="00C520C3" w14:paraId="459B8DC1" w14:textId="77777777" w:rsidTr="00F00533">
        <w:trPr>
          <w:tblCellSpacing w:w="15" w:type="dxa"/>
        </w:trPr>
        <w:tc>
          <w:tcPr>
            <w:tcW w:w="0" w:type="auto"/>
            <w:vAlign w:val="center"/>
            <w:hideMark/>
          </w:tcPr>
          <w:p w14:paraId="210F7050" w14:textId="77777777" w:rsidR="00EE37EA" w:rsidRPr="00C520C3" w:rsidRDefault="00EE37EA" w:rsidP="00F00533">
            <w:r w:rsidRPr="00C520C3">
              <w:t>3 jaar (gemiddeld)</w:t>
            </w:r>
          </w:p>
        </w:tc>
        <w:tc>
          <w:tcPr>
            <w:tcW w:w="0" w:type="auto"/>
            <w:vAlign w:val="center"/>
            <w:hideMark/>
          </w:tcPr>
          <w:p w14:paraId="68547B96" w14:textId="77777777" w:rsidR="00EE37EA" w:rsidRPr="00C520C3" w:rsidRDefault="00EE37EA" w:rsidP="00F00533">
            <w:r w:rsidRPr="00C520C3">
              <w:t>14,01 %</w:t>
            </w:r>
          </w:p>
        </w:tc>
        <w:tc>
          <w:tcPr>
            <w:tcW w:w="0" w:type="auto"/>
            <w:vAlign w:val="center"/>
            <w:hideMark/>
          </w:tcPr>
          <w:p w14:paraId="0C16111F" w14:textId="77777777" w:rsidR="00EE37EA" w:rsidRPr="00C520C3" w:rsidRDefault="00EE37EA" w:rsidP="00F00533">
            <w:r w:rsidRPr="00C520C3">
              <w:t>15,03 %</w:t>
            </w:r>
          </w:p>
        </w:tc>
      </w:tr>
      <w:tr w:rsidR="00EE37EA" w:rsidRPr="00C520C3" w14:paraId="1A758D7C" w14:textId="77777777" w:rsidTr="00F00533">
        <w:trPr>
          <w:tblCellSpacing w:w="15" w:type="dxa"/>
        </w:trPr>
        <w:tc>
          <w:tcPr>
            <w:tcW w:w="0" w:type="auto"/>
            <w:vAlign w:val="center"/>
            <w:hideMark/>
          </w:tcPr>
          <w:p w14:paraId="7B9A077E" w14:textId="77777777" w:rsidR="00EE37EA" w:rsidRPr="00C520C3" w:rsidRDefault="00EE37EA" w:rsidP="00F00533">
            <w:r w:rsidRPr="00C520C3">
              <w:t>5 jaar (gemiddeld)</w:t>
            </w:r>
          </w:p>
        </w:tc>
        <w:tc>
          <w:tcPr>
            <w:tcW w:w="0" w:type="auto"/>
            <w:vAlign w:val="center"/>
            <w:hideMark/>
          </w:tcPr>
          <w:p w14:paraId="5F1E5991" w14:textId="77777777" w:rsidR="00EE37EA" w:rsidRPr="00C520C3" w:rsidRDefault="00EE37EA" w:rsidP="00F00533">
            <w:r w:rsidRPr="00C520C3">
              <w:t>9,09 %</w:t>
            </w:r>
          </w:p>
        </w:tc>
        <w:tc>
          <w:tcPr>
            <w:tcW w:w="0" w:type="auto"/>
            <w:vAlign w:val="center"/>
            <w:hideMark/>
          </w:tcPr>
          <w:p w14:paraId="2A5F05FD" w14:textId="77777777" w:rsidR="00EE37EA" w:rsidRPr="00C520C3" w:rsidRDefault="00EE37EA" w:rsidP="00F00533">
            <w:r w:rsidRPr="00C520C3">
              <w:t>12,51 %</w:t>
            </w:r>
          </w:p>
        </w:tc>
      </w:tr>
      <w:tr w:rsidR="00EE37EA" w:rsidRPr="00C520C3" w14:paraId="7E3A64A7" w14:textId="77777777" w:rsidTr="00F00533">
        <w:trPr>
          <w:tblCellSpacing w:w="15" w:type="dxa"/>
        </w:trPr>
        <w:tc>
          <w:tcPr>
            <w:tcW w:w="0" w:type="auto"/>
            <w:vAlign w:val="center"/>
            <w:hideMark/>
          </w:tcPr>
          <w:p w14:paraId="2AC187F8" w14:textId="77777777" w:rsidR="00EE37EA" w:rsidRPr="00C520C3" w:rsidRDefault="00EE37EA" w:rsidP="00F00533">
            <w:r w:rsidRPr="00C520C3">
              <w:t>10 jaar (gemiddeld)</w:t>
            </w:r>
          </w:p>
        </w:tc>
        <w:tc>
          <w:tcPr>
            <w:tcW w:w="0" w:type="auto"/>
            <w:vAlign w:val="center"/>
            <w:hideMark/>
          </w:tcPr>
          <w:p w14:paraId="5D89F83A" w14:textId="77777777" w:rsidR="00EE37EA" w:rsidRPr="00C520C3" w:rsidRDefault="00EE37EA" w:rsidP="00F00533">
            <w:r w:rsidRPr="00C520C3">
              <w:t>7,82 %</w:t>
            </w:r>
          </w:p>
        </w:tc>
        <w:tc>
          <w:tcPr>
            <w:tcW w:w="0" w:type="auto"/>
            <w:vAlign w:val="center"/>
            <w:hideMark/>
          </w:tcPr>
          <w:p w14:paraId="1104BFAF" w14:textId="77777777" w:rsidR="00EE37EA" w:rsidRPr="00C520C3" w:rsidRDefault="00EE37EA" w:rsidP="00F00533">
            <w:r w:rsidRPr="00C520C3">
              <w:t>9,63 %</w:t>
            </w:r>
          </w:p>
        </w:tc>
      </w:tr>
    </w:tbl>
    <w:p w14:paraId="213450D5" w14:textId="77777777" w:rsidR="00EE37EA" w:rsidRPr="00C520C3" w:rsidRDefault="00EE37EA" w:rsidP="00EE37EA">
      <w:r w:rsidRPr="00C520C3">
        <w:t>Hoewel het rendement iets achterblijft bij de benchmark, is dit verschil verklaarbaar door de strenge duurzaamheidsselectie en uitsluiting van vervuilende sectoren.</w:t>
      </w:r>
    </w:p>
    <w:p w14:paraId="6F0DC016" w14:textId="77777777" w:rsidR="00EE37EA" w:rsidRPr="00C520C3" w:rsidRDefault="00EE37EA" w:rsidP="00EE37EA">
      <w:r w:rsidRPr="00C520C3">
        <w:t xml:space="preserve">Het </w:t>
      </w:r>
      <w:r w:rsidRPr="00C520C3">
        <w:rPr>
          <w:i/>
          <w:iCs/>
          <w:highlight w:val="lightGray"/>
        </w:rPr>
        <w:t>Essentiële-informatiedocument</w:t>
      </w:r>
      <w:r w:rsidRPr="00C520C3">
        <w:t xml:space="preserve"> plaatst het fonds in risicoklasse 4 van 7, oftewel een </w:t>
      </w:r>
      <w:r w:rsidRPr="00C520C3">
        <w:rPr>
          <w:i/>
          <w:iCs/>
        </w:rPr>
        <w:t>gemiddeld risicoprofiel</w:t>
      </w:r>
      <w:r w:rsidRPr="00C520C3">
        <w:t>. Dat betekent dat het fonds geschikt is voor klanten met een lange beleggingshorizon (minimaal 5 jaar) die bereid zijn om tijdelijke schommelingen te accepteren</w:t>
      </w:r>
    </w:p>
    <w:p w14:paraId="7D8EFB7B" w14:textId="77777777" w:rsidR="00EE37EA" w:rsidRPr="00C520C3" w:rsidRDefault="00EE37EA" w:rsidP="00EE37EA">
      <w:r w:rsidRPr="00C520C3">
        <w:t>De kosten zijn transparant en marktconform:</w:t>
      </w:r>
    </w:p>
    <w:p w14:paraId="7152A8AC" w14:textId="77777777" w:rsidR="00EE37EA" w:rsidRPr="00C520C3" w:rsidRDefault="00EE37EA" w:rsidP="00E1671C">
      <w:pPr>
        <w:numPr>
          <w:ilvl w:val="0"/>
          <w:numId w:val="22"/>
        </w:numPr>
        <w:spacing w:line="259" w:lineRule="auto"/>
      </w:pPr>
      <w:r w:rsidRPr="00C520C3">
        <w:t>Beheerskosten: 0,85 % per jaar,</w:t>
      </w:r>
    </w:p>
    <w:p w14:paraId="0B1DCC98" w14:textId="77777777" w:rsidR="00EE37EA" w:rsidRPr="00C520C3" w:rsidRDefault="00EE37EA" w:rsidP="00E1671C">
      <w:pPr>
        <w:numPr>
          <w:ilvl w:val="0"/>
          <w:numId w:val="22"/>
        </w:numPr>
        <w:spacing w:line="259" w:lineRule="auto"/>
      </w:pPr>
      <w:r w:rsidRPr="00C520C3">
        <w:t>Transactiekosten: 0,09 % per jaar,</w:t>
      </w:r>
    </w:p>
    <w:p w14:paraId="113E8B4F" w14:textId="77777777" w:rsidR="00EE37EA" w:rsidRPr="00C520C3" w:rsidRDefault="00EE37EA" w:rsidP="00E1671C">
      <w:pPr>
        <w:numPr>
          <w:ilvl w:val="0"/>
          <w:numId w:val="22"/>
        </w:numPr>
        <w:spacing w:line="259" w:lineRule="auto"/>
      </w:pPr>
      <w:r w:rsidRPr="00C520C3">
        <w:t>Geen instap- of uitstapkosten</w:t>
      </w:r>
    </w:p>
    <w:p w14:paraId="27730FFF" w14:textId="77777777" w:rsidR="00EE37EA" w:rsidRPr="00C520C3" w:rsidRDefault="00EE37EA" w:rsidP="00EE37EA">
      <w:r w:rsidRPr="00C520C3">
        <w:t>Deze combinatie van redelijke kosten, transparante rapportage en solide rendementen maakt het fonds financieel verantwoord voor onze klanten.</w:t>
      </w:r>
    </w:p>
    <w:p w14:paraId="04396941" w14:textId="77777777" w:rsidR="00EE37EA" w:rsidRPr="00C520C3" w:rsidRDefault="00EE37EA" w:rsidP="00EE37EA"/>
    <w:p w14:paraId="29879E42" w14:textId="77777777" w:rsidR="00EE37EA" w:rsidRPr="00C520C3" w:rsidRDefault="00EE37EA" w:rsidP="00EE37EA">
      <w:pPr>
        <w:rPr>
          <w:b/>
          <w:bCs/>
        </w:rPr>
      </w:pPr>
      <w:proofErr w:type="spellStart"/>
      <w:r w:rsidRPr="00C520C3">
        <w:rPr>
          <w:b/>
          <w:bCs/>
        </w:rPr>
        <w:t>Governance</w:t>
      </w:r>
      <w:proofErr w:type="spellEnd"/>
      <w:r w:rsidRPr="00C520C3">
        <w:rPr>
          <w:b/>
          <w:bCs/>
        </w:rPr>
        <w:t>, controle en betrouwbaarheid</w:t>
      </w:r>
    </w:p>
    <w:p w14:paraId="52CF13EE" w14:textId="77777777" w:rsidR="00EE37EA" w:rsidRPr="00C520C3" w:rsidRDefault="00EE37EA" w:rsidP="00EE37EA">
      <w:r w:rsidRPr="00C520C3">
        <w:t xml:space="preserve">Het fonds wordt beheerd door ASN Impact </w:t>
      </w:r>
      <w:proofErr w:type="spellStart"/>
      <w:r w:rsidRPr="00C520C3">
        <w:t>Investors</w:t>
      </w:r>
      <w:proofErr w:type="spellEnd"/>
      <w:r w:rsidRPr="00C520C3">
        <w:t>, onderdeel van de Volksbank N.V., onder toezicht van de Autoriteit Financiële Markten (AFM).</w:t>
      </w:r>
      <w:r w:rsidRPr="00C520C3">
        <w:br/>
        <w:t xml:space="preserve">De activa worden bewaard door BNP Paribas S.A. Netherlands </w:t>
      </w:r>
      <w:proofErr w:type="spellStart"/>
      <w:r w:rsidRPr="00C520C3">
        <w:t>Branch</w:t>
      </w:r>
      <w:proofErr w:type="spellEnd"/>
      <w:r w:rsidRPr="00C520C3">
        <w:t>, waardoor er een duidelijke scheiding is tussen beheer en bewaring</w:t>
      </w:r>
    </w:p>
    <w:p w14:paraId="6D3C7603" w14:textId="77777777" w:rsidR="00EE37EA" w:rsidRPr="00C520C3" w:rsidRDefault="00EE37EA" w:rsidP="00EE37EA">
      <w:r w:rsidRPr="00C520C3">
        <w:t>Daarnaast heeft ASN een Impactcommissie ingesteld die voortdurend toezicht houdt op de duurzame doelstellingen, het stembeleid en de engagementactiviteiten met ondernemingen</w:t>
      </w:r>
    </w:p>
    <w:p w14:paraId="43884827" w14:textId="77777777" w:rsidR="00EE37EA" w:rsidRPr="00C520C3" w:rsidRDefault="00EE37EA" w:rsidP="00EE37EA">
      <w:r w:rsidRPr="00C520C3">
        <w:br/>
        <w:t>Wanneer een onderneming niet meer voldoet aan de criteria of wangedrag vertoont, wordt actief engagement gevoerd — een dialoog om verbetering te stimuleren. Indien dat niet lukt, wordt de onderneming verwijderd uit het beleggingsuniversum.</w:t>
      </w:r>
    </w:p>
    <w:p w14:paraId="5E44CBC5" w14:textId="77777777" w:rsidR="00EE37EA" w:rsidRPr="00C520C3" w:rsidRDefault="00EE37EA" w:rsidP="00EE37EA">
      <w:r w:rsidRPr="00C520C3">
        <w:t xml:space="preserve">Deze </w:t>
      </w:r>
      <w:proofErr w:type="spellStart"/>
      <w:r w:rsidRPr="00C520C3">
        <w:t>governance</w:t>
      </w:r>
      <w:proofErr w:type="spellEnd"/>
      <w:r w:rsidRPr="00C520C3">
        <w:t>-structuur geeft ons als adviesbureau het vertrouwen dat het fonds professioneel, controleerbaar en transparant wordt beheerd.</w:t>
      </w:r>
    </w:p>
    <w:p w14:paraId="104A28F9" w14:textId="77777777" w:rsidR="00EE37EA" w:rsidRPr="00C520C3" w:rsidRDefault="00EE37EA" w:rsidP="00EE37EA"/>
    <w:p w14:paraId="08129B39" w14:textId="77777777" w:rsidR="00EE37EA" w:rsidRPr="00C520C3" w:rsidRDefault="00EE37EA" w:rsidP="00EE37EA">
      <w:pPr>
        <w:rPr>
          <w:b/>
          <w:bCs/>
        </w:rPr>
      </w:pPr>
      <w:r w:rsidRPr="00C520C3">
        <w:rPr>
          <w:b/>
          <w:bCs/>
        </w:rPr>
        <w:t>Passend bij onze klanten en adviesfilosofie</w:t>
      </w:r>
    </w:p>
    <w:p w14:paraId="4CD9871D" w14:textId="77777777" w:rsidR="00EE37EA" w:rsidRPr="00C520C3" w:rsidRDefault="00EE37EA" w:rsidP="00EE37EA">
      <w:r w:rsidRPr="00C520C3">
        <w:t>Wij adviseren dit fonds aan klanten die:</w:t>
      </w:r>
    </w:p>
    <w:p w14:paraId="50214039" w14:textId="77777777" w:rsidR="00EE37EA" w:rsidRPr="00C520C3" w:rsidRDefault="00EE37EA" w:rsidP="00E1671C">
      <w:pPr>
        <w:numPr>
          <w:ilvl w:val="0"/>
          <w:numId w:val="23"/>
        </w:numPr>
        <w:spacing w:line="259" w:lineRule="auto"/>
      </w:pPr>
      <w:r w:rsidRPr="00C520C3">
        <w:t>Een lange beleggingshorizon hebben (minimaal 5 jaar),</w:t>
      </w:r>
    </w:p>
    <w:p w14:paraId="26A998A2" w14:textId="77777777" w:rsidR="00EE37EA" w:rsidRPr="00C520C3" w:rsidRDefault="00EE37EA" w:rsidP="00E1671C">
      <w:pPr>
        <w:numPr>
          <w:ilvl w:val="0"/>
          <w:numId w:val="23"/>
        </w:numPr>
        <w:spacing w:line="259" w:lineRule="auto"/>
      </w:pPr>
      <w:r w:rsidRPr="00C520C3">
        <w:t>Financieel rendement willen combineren met maatschappelijke meerwaarde,</w:t>
      </w:r>
    </w:p>
    <w:p w14:paraId="53515518" w14:textId="77777777" w:rsidR="00EE37EA" w:rsidRPr="00C520C3" w:rsidRDefault="00EE37EA" w:rsidP="00E1671C">
      <w:pPr>
        <w:numPr>
          <w:ilvl w:val="0"/>
          <w:numId w:val="23"/>
        </w:numPr>
        <w:spacing w:line="259" w:lineRule="auto"/>
      </w:pPr>
      <w:r w:rsidRPr="00C520C3">
        <w:t>En belang hechten aan transparantie, duurzaamheid en ethisch verantwoord ondernemen.</w:t>
      </w:r>
    </w:p>
    <w:p w14:paraId="723A562D" w14:textId="77777777" w:rsidR="00EE37EA" w:rsidRPr="00C520C3" w:rsidRDefault="00EE37EA" w:rsidP="00EE37EA">
      <w:r w:rsidRPr="00C520C3">
        <w:t>Het fonds is bovendien geschikt voor zowel particuliere als professionele beleggers. Omdat het actief wordt beheerd en eenvoudig via Euronext Amsterdam verhandeld kan worden, is het toegankelijk voor klanten met uiteenlopende kennisniveaus</w:t>
      </w:r>
    </w:p>
    <w:p w14:paraId="43090218" w14:textId="77777777" w:rsidR="00EE37EA" w:rsidRPr="00C520C3" w:rsidRDefault="00EE37EA" w:rsidP="00EE37EA">
      <w:r w:rsidRPr="00C520C3">
        <w:t>Door de focus op innovatie, schone technologie en sociale gelijkheid past dit fonds uitstekend bij de waarde-gedreven strategie die ons adviesbureau hanteert.</w:t>
      </w:r>
    </w:p>
    <w:p w14:paraId="4BA23566" w14:textId="77777777" w:rsidR="00EE37EA" w:rsidRPr="00C520C3" w:rsidRDefault="00EE37EA" w:rsidP="00EE37EA"/>
    <w:p w14:paraId="28E76C5D" w14:textId="77777777" w:rsidR="00EE37EA" w:rsidRPr="00C520C3" w:rsidRDefault="00EE37EA" w:rsidP="00EE37EA">
      <w:pPr>
        <w:rPr>
          <w:b/>
          <w:bCs/>
        </w:rPr>
      </w:pPr>
      <w:r w:rsidRPr="00C520C3">
        <w:rPr>
          <w:b/>
          <w:bCs/>
        </w:rPr>
        <w:t>Samenvattende motivatie</w:t>
      </w:r>
    </w:p>
    <w:p w14:paraId="5134EB40" w14:textId="77777777" w:rsidR="00EE37EA" w:rsidRPr="00C520C3" w:rsidRDefault="00EE37EA" w:rsidP="00EE37EA">
      <w:r w:rsidRPr="00C520C3">
        <w:t>Onze keuze voor het ASN Duurzaam Aandelenfonds is gebaseerd op een combinatie van ethische overtuiging, meetbare duurzaamheid, financieel rendement en professionele betrouwbaarheid.</w:t>
      </w:r>
    </w:p>
    <w:p w14:paraId="7631CA51" w14:textId="77777777" w:rsidR="00EE37EA" w:rsidRPr="00C520C3" w:rsidRDefault="00EE37EA" w:rsidP="00EE37EA">
      <w:r w:rsidRPr="00C520C3">
        <w:t>Wij hebben dit fonds geselecteerd omdat het:</w:t>
      </w:r>
    </w:p>
    <w:p w14:paraId="6F2B7DFC" w14:textId="77777777" w:rsidR="00EE37EA" w:rsidRPr="00C520C3" w:rsidRDefault="00EE37EA" w:rsidP="00E1671C">
      <w:pPr>
        <w:numPr>
          <w:ilvl w:val="0"/>
          <w:numId w:val="24"/>
        </w:numPr>
        <w:spacing w:line="259" w:lineRule="auto"/>
      </w:pPr>
      <w:r w:rsidRPr="00C520C3">
        <w:t>Concreet bijdraagt aan wereldwijde duurzame doelen (SDG 8, 9, 12 en 13) door te investeren in bedrijven die CO₂-uitstoot en biodiversiteitsverlies actief verminderen</w:t>
      </w:r>
    </w:p>
    <w:p w14:paraId="728D106C" w14:textId="77777777" w:rsidR="00EE37EA" w:rsidRPr="00C520C3" w:rsidRDefault="00EE37EA" w:rsidP="00E1671C">
      <w:pPr>
        <w:numPr>
          <w:ilvl w:val="0"/>
          <w:numId w:val="24"/>
        </w:numPr>
        <w:spacing w:line="259" w:lineRule="auto"/>
      </w:pPr>
      <w:r w:rsidRPr="00C520C3">
        <w:t>Een streng duurzaamheidsbeleid voert met uitsluiting van fossiele energie, wapens, mensenrechtenschendingen en dierproeven</w:t>
      </w:r>
    </w:p>
    <w:p w14:paraId="28BC0462" w14:textId="77777777" w:rsidR="00EE37EA" w:rsidRPr="00C520C3" w:rsidRDefault="00EE37EA" w:rsidP="00E1671C">
      <w:pPr>
        <w:numPr>
          <w:ilvl w:val="0"/>
          <w:numId w:val="24"/>
        </w:numPr>
        <w:spacing w:line="259" w:lineRule="auto"/>
      </w:pPr>
      <w:r w:rsidRPr="00C520C3">
        <w:t>Meetbare resultaten toont via erkende methodieken (PCAF, ITR, BFFI) — uniek in Nederland</w:t>
      </w:r>
    </w:p>
    <w:p w14:paraId="5000F4E6" w14:textId="77777777" w:rsidR="00EE37EA" w:rsidRPr="00C520C3" w:rsidRDefault="00EE37EA" w:rsidP="00E1671C">
      <w:pPr>
        <w:numPr>
          <w:ilvl w:val="0"/>
          <w:numId w:val="24"/>
        </w:numPr>
        <w:spacing w:line="259" w:lineRule="auto"/>
      </w:pPr>
      <w:r w:rsidRPr="00C520C3">
        <w:t>Wereldwijd gespreid en toekomstgericht is met focus op technologie, gezondheidszorg en innovatie</w:t>
      </w:r>
    </w:p>
    <w:p w14:paraId="4FBFF877" w14:textId="77777777" w:rsidR="00EE37EA" w:rsidRPr="00C520C3" w:rsidRDefault="00EE37EA" w:rsidP="00E1671C">
      <w:pPr>
        <w:numPr>
          <w:ilvl w:val="0"/>
          <w:numId w:val="24"/>
        </w:numPr>
        <w:spacing w:line="259" w:lineRule="auto"/>
      </w:pPr>
      <w:r w:rsidRPr="00C520C3">
        <w:t>Financieel stabiel presteert met redelijke kosten, gemiddelde risico’s en transparante communicatie</w:t>
      </w:r>
    </w:p>
    <w:p w14:paraId="12ABD010" w14:textId="77777777" w:rsidR="00EE37EA" w:rsidRPr="00C520C3" w:rsidRDefault="00EE37EA" w:rsidP="00E1671C">
      <w:pPr>
        <w:numPr>
          <w:ilvl w:val="0"/>
          <w:numId w:val="24"/>
        </w:numPr>
        <w:spacing w:line="259" w:lineRule="auto"/>
      </w:pPr>
      <w:r w:rsidRPr="00C520C3">
        <w:t xml:space="preserve">Volledig transparant en professioneel beheerd wordt door ASN Impact </w:t>
      </w:r>
      <w:proofErr w:type="spellStart"/>
      <w:r w:rsidRPr="00C520C3">
        <w:t>Investors</w:t>
      </w:r>
      <w:proofErr w:type="spellEnd"/>
      <w:r w:rsidRPr="00C520C3">
        <w:t xml:space="preserve"> onder toezicht van de AFM, met een onafhankelijke bewaarder</w:t>
      </w:r>
    </w:p>
    <w:p w14:paraId="6459BFB1" w14:textId="77777777" w:rsidR="00EE37EA" w:rsidRPr="00C520C3" w:rsidRDefault="00EE37EA" w:rsidP="00EE37EA">
      <w:pPr>
        <w:rPr>
          <w:b/>
          <w:bCs/>
          <w:sz w:val="30"/>
          <w:szCs w:val="30"/>
        </w:rPr>
      </w:pPr>
    </w:p>
    <w:p w14:paraId="621BC6E2" w14:textId="77777777" w:rsidR="00EE37EA" w:rsidRPr="00C520C3" w:rsidRDefault="00EE37EA" w:rsidP="00EE37EA">
      <w:pPr>
        <w:rPr>
          <w:b/>
          <w:bCs/>
          <w:sz w:val="30"/>
          <w:szCs w:val="30"/>
        </w:rPr>
      </w:pPr>
    </w:p>
    <w:p w14:paraId="5EA9C748" w14:textId="77777777" w:rsidR="00EE37EA" w:rsidRPr="00C520C3" w:rsidRDefault="00EE37EA" w:rsidP="00EE37EA">
      <w:pPr>
        <w:rPr>
          <w:b/>
          <w:bCs/>
          <w:sz w:val="30"/>
          <w:szCs w:val="30"/>
        </w:rPr>
      </w:pPr>
    </w:p>
    <w:p w14:paraId="324F06AC" w14:textId="77777777" w:rsidR="00EE37EA" w:rsidRPr="00C520C3" w:rsidRDefault="00EE37EA" w:rsidP="00EE37EA">
      <w:pPr>
        <w:rPr>
          <w:b/>
          <w:bCs/>
          <w:sz w:val="30"/>
          <w:szCs w:val="30"/>
        </w:rPr>
      </w:pPr>
    </w:p>
    <w:p w14:paraId="1CBFD572" w14:textId="77777777" w:rsidR="00EE37EA" w:rsidRPr="00C520C3" w:rsidRDefault="00EE37EA" w:rsidP="00EE37EA">
      <w:pPr>
        <w:rPr>
          <w:b/>
          <w:bCs/>
          <w:sz w:val="30"/>
          <w:szCs w:val="30"/>
        </w:rPr>
      </w:pPr>
    </w:p>
    <w:p w14:paraId="066C2B8B" w14:textId="77777777" w:rsidR="00EE37EA" w:rsidRPr="00C520C3" w:rsidRDefault="00EE37EA" w:rsidP="00EE37EA">
      <w:pPr>
        <w:rPr>
          <w:b/>
          <w:bCs/>
          <w:sz w:val="30"/>
          <w:szCs w:val="30"/>
        </w:rPr>
      </w:pPr>
    </w:p>
    <w:p w14:paraId="7ECF1EA7" w14:textId="77777777" w:rsidR="00EE37EA" w:rsidRPr="00C520C3" w:rsidRDefault="00EE37EA" w:rsidP="00EE37EA">
      <w:pPr>
        <w:rPr>
          <w:b/>
          <w:bCs/>
          <w:sz w:val="20"/>
          <w:szCs w:val="20"/>
        </w:rPr>
      </w:pPr>
      <w:r w:rsidRPr="00C520C3">
        <w:rPr>
          <w:b/>
          <w:bCs/>
          <w:sz w:val="20"/>
          <w:szCs w:val="20"/>
        </w:rPr>
        <w:t xml:space="preserve">Conclusie: </w:t>
      </w:r>
    </w:p>
    <w:p w14:paraId="6AD7DE7B" w14:textId="77777777" w:rsidR="00EE37EA" w:rsidRPr="00C520C3" w:rsidRDefault="00EE37EA" w:rsidP="00EE37EA">
      <w:pPr>
        <w:rPr>
          <w:sz w:val="20"/>
          <w:szCs w:val="20"/>
        </w:rPr>
      </w:pPr>
      <w:r w:rsidRPr="00C520C3">
        <w:rPr>
          <w:sz w:val="20"/>
          <w:szCs w:val="20"/>
        </w:rPr>
        <w:t>Categorie: Wereldwijd aandelenfonds</w:t>
      </w:r>
      <w:r w:rsidRPr="00C520C3">
        <w:rPr>
          <w:sz w:val="20"/>
          <w:szCs w:val="20"/>
        </w:rPr>
        <w:br/>
        <w:t xml:space="preserve">Beheerder: ASN Impact </w:t>
      </w:r>
      <w:proofErr w:type="spellStart"/>
      <w:r w:rsidRPr="00C520C3">
        <w:rPr>
          <w:sz w:val="20"/>
          <w:szCs w:val="20"/>
        </w:rPr>
        <w:t>Investors</w:t>
      </w:r>
      <w:proofErr w:type="spellEnd"/>
      <w:r w:rsidRPr="00C520C3">
        <w:rPr>
          <w:sz w:val="20"/>
          <w:szCs w:val="20"/>
        </w:rPr>
        <w:t xml:space="preserve"> (onderdeel van de Volksbank N.V.)</w:t>
      </w:r>
      <w:r w:rsidRPr="00C520C3">
        <w:rPr>
          <w:sz w:val="20"/>
          <w:szCs w:val="20"/>
        </w:rPr>
        <w:br/>
        <w:t>ISIN: NL0014270225</w:t>
      </w:r>
      <w:r w:rsidRPr="00C520C3">
        <w:rPr>
          <w:sz w:val="20"/>
          <w:szCs w:val="20"/>
        </w:rPr>
        <w:br/>
        <w:t>SFDR-classificatie: Artikel 9 (duurzame beleggingsdoelstelling)</w:t>
      </w:r>
      <w:r w:rsidRPr="00C520C3">
        <w:rPr>
          <w:sz w:val="20"/>
          <w:szCs w:val="20"/>
        </w:rPr>
        <w:br/>
        <w:t>Bronnen:</w:t>
      </w:r>
    </w:p>
    <w:p w14:paraId="767F1196" w14:textId="77777777" w:rsidR="00EE37EA" w:rsidRPr="00C520C3" w:rsidRDefault="00EE37EA" w:rsidP="00E1671C">
      <w:pPr>
        <w:numPr>
          <w:ilvl w:val="0"/>
          <w:numId w:val="25"/>
        </w:numPr>
        <w:spacing w:line="259" w:lineRule="auto"/>
        <w:rPr>
          <w:sz w:val="20"/>
          <w:szCs w:val="20"/>
        </w:rPr>
      </w:pPr>
      <w:r w:rsidRPr="00C520C3">
        <w:rPr>
          <w:sz w:val="20"/>
          <w:szCs w:val="20"/>
        </w:rPr>
        <w:t>ASN Duurzaamheidsinformatie ASN Duurzaam Aandelenfonds (2025)</w:t>
      </w:r>
    </w:p>
    <w:p w14:paraId="03D29FE8" w14:textId="77777777" w:rsidR="00EE37EA" w:rsidRPr="00C520C3" w:rsidRDefault="00EE37EA" w:rsidP="00E1671C">
      <w:pPr>
        <w:numPr>
          <w:ilvl w:val="0"/>
          <w:numId w:val="25"/>
        </w:numPr>
        <w:spacing w:line="259" w:lineRule="auto"/>
        <w:rPr>
          <w:sz w:val="20"/>
          <w:szCs w:val="20"/>
        </w:rPr>
      </w:pPr>
      <w:r w:rsidRPr="00C520C3">
        <w:rPr>
          <w:sz w:val="20"/>
          <w:szCs w:val="20"/>
        </w:rPr>
        <w:t>Essentiële-informatiedocument ASN Duurzaam Aandelenfonds R (2025)</w:t>
      </w:r>
    </w:p>
    <w:p w14:paraId="424D36DC" w14:textId="77777777" w:rsidR="00EE37EA" w:rsidRPr="00C520C3" w:rsidRDefault="00EE37EA" w:rsidP="00E1671C">
      <w:pPr>
        <w:numPr>
          <w:ilvl w:val="0"/>
          <w:numId w:val="25"/>
        </w:numPr>
        <w:spacing w:line="259" w:lineRule="auto"/>
        <w:rPr>
          <w:sz w:val="20"/>
          <w:szCs w:val="20"/>
        </w:rPr>
      </w:pPr>
      <w:proofErr w:type="spellStart"/>
      <w:r w:rsidRPr="00C520C3">
        <w:rPr>
          <w:sz w:val="20"/>
          <w:szCs w:val="20"/>
        </w:rPr>
        <w:t>Factsheet</w:t>
      </w:r>
      <w:proofErr w:type="spellEnd"/>
      <w:r w:rsidRPr="00C520C3">
        <w:rPr>
          <w:sz w:val="20"/>
          <w:szCs w:val="20"/>
        </w:rPr>
        <w:t xml:space="preserve"> ASN Duurzaam Aandelenfonds R (sept. 2025)</w:t>
      </w:r>
    </w:p>
    <w:p w14:paraId="273E7CE0" w14:textId="77777777" w:rsidR="00EE37EA" w:rsidRPr="00C520C3" w:rsidRDefault="00EE37EA" w:rsidP="00EE37EA">
      <w:pPr>
        <w:rPr>
          <w:sz w:val="20"/>
          <w:szCs w:val="20"/>
        </w:rPr>
      </w:pPr>
      <w:r w:rsidRPr="00C520C3">
        <w:rPr>
          <w:sz w:val="20"/>
          <w:szCs w:val="20"/>
        </w:rPr>
        <w:t>Niet-duurzaamheidscriteria</w:t>
      </w:r>
    </w:p>
    <w:p w14:paraId="234966E2" w14:textId="77777777" w:rsidR="00EE37EA" w:rsidRPr="00C520C3" w:rsidRDefault="00EE37EA" w:rsidP="00EE37EA">
      <w:pPr>
        <w:rPr>
          <w:b/>
          <w:bCs/>
          <w:sz w:val="20"/>
          <w:szCs w:val="20"/>
        </w:rPr>
      </w:pPr>
      <w:r w:rsidRPr="00C520C3">
        <w:rPr>
          <w:b/>
          <w:bCs/>
          <w:sz w:val="20"/>
          <w:szCs w:val="20"/>
        </w:rPr>
        <w:t>1. Communicatiebeleggingsstrategie (10%)</w:t>
      </w:r>
    </w:p>
    <w:p w14:paraId="51FCA6D8" w14:textId="77777777" w:rsidR="00EE37EA" w:rsidRPr="00C520C3" w:rsidRDefault="00EE37EA" w:rsidP="00EE37EA">
      <w:pPr>
        <w:rPr>
          <w:sz w:val="20"/>
          <w:szCs w:val="20"/>
        </w:rPr>
      </w:pPr>
      <w:r w:rsidRPr="00C520C3">
        <w:rPr>
          <w:sz w:val="20"/>
          <w:szCs w:val="20"/>
        </w:rPr>
        <w:t>Het fonds communiceert zeer helder over zijn beleggingsstrategie.</w:t>
      </w:r>
      <w:r w:rsidRPr="00C520C3">
        <w:rPr>
          <w:sz w:val="20"/>
          <w:szCs w:val="20"/>
        </w:rPr>
        <w:br/>
        <w:t xml:space="preserve">In het </w:t>
      </w:r>
      <w:r w:rsidRPr="00C520C3">
        <w:rPr>
          <w:i/>
          <w:iCs/>
          <w:sz w:val="20"/>
          <w:szCs w:val="20"/>
        </w:rPr>
        <w:t>Essentiële-informatiedocument</w:t>
      </w:r>
      <w:r w:rsidRPr="00C520C3">
        <w:rPr>
          <w:sz w:val="20"/>
          <w:szCs w:val="20"/>
        </w:rPr>
        <w:t xml:space="preserve"> wordt stap voor stap uitgelegd:</w:t>
      </w:r>
    </w:p>
    <w:p w14:paraId="649995E4" w14:textId="77777777" w:rsidR="00EE37EA" w:rsidRPr="00C520C3" w:rsidRDefault="00EE37EA" w:rsidP="00E1671C">
      <w:pPr>
        <w:numPr>
          <w:ilvl w:val="0"/>
          <w:numId w:val="26"/>
        </w:numPr>
        <w:spacing w:line="259" w:lineRule="auto"/>
        <w:rPr>
          <w:sz w:val="20"/>
          <w:szCs w:val="20"/>
        </w:rPr>
      </w:pPr>
      <w:r w:rsidRPr="00C520C3">
        <w:rPr>
          <w:sz w:val="20"/>
          <w:szCs w:val="20"/>
        </w:rPr>
        <w:t>Dat het fonds actief wordt beheerd;</w:t>
      </w:r>
    </w:p>
    <w:p w14:paraId="73183B78" w14:textId="77777777" w:rsidR="00EE37EA" w:rsidRPr="00C520C3" w:rsidRDefault="00EE37EA" w:rsidP="00E1671C">
      <w:pPr>
        <w:numPr>
          <w:ilvl w:val="0"/>
          <w:numId w:val="26"/>
        </w:numPr>
        <w:spacing w:line="259" w:lineRule="auto"/>
        <w:rPr>
          <w:sz w:val="20"/>
          <w:szCs w:val="20"/>
        </w:rPr>
      </w:pPr>
      <w:r w:rsidRPr="00C520C3">
        <w:rPr>
          <w:sz w:val="20"/>
          <w:szCs w:val="20"/>
        </w:rPr>
        <w:t>Dat de portefeuille wereldwijd wordt samengesteld uit beursgenoteerde ondernemingen die aan strikte duurzaamheidscriteria voldoen;</w:t>
      </w:r>
    </w:p>
    <w:p w14:paraId="03AE5D2A" w14:textId="77777777" w:rsidR="00EE37EA" w:rsidRPr="00C520C3" w:rsidRDefault="00EE37EA" w:rsidP="00E1671C">
      <w:pPr>
        <w:numPr>
          <w:ilvl w:val="0"/>
          <w:numId w:val="26"/>
        </w:numPr>
        <w:spacing w:line="259" w:lineRule="auto"/>
        <w:rPr>
          <w:sz w:val="20"/>
          <w:szCs w:val="20"/>
        </w:rPr>
      </w:pPr>
      <w:r w:rsidRPr="00C520C3">
        <w:rPr>
          <w:sz w:val="20"/>
          <w:szCs w:val="20"/>
        </w:rPr>
        <w:t xml:space="preserve">Dat het fonds streeft naar </w:t>
      </w:r>
      <w:proofErr w:type="spellStart"/>
      <w:r w:rsidRPr="00C520C3">
        <w:rPr>
          <w:sz w:val="20"/>
          <w:szCs w:val="20"/>
        </w:rPr>
        <w:t>lange</w:t>
      </w:r>
      <w:r w:rsidRPr="00C520C3">
        <w:rPr>
          <w:sz w:val="20"/>
          <w:szCs w:val="20"/>
        </w:rPr>
        <w:softHyphen/>
        <w:t>termijnvermogensgroei</w:t>
      </w:r>
      <w:proofErr w:type="spellEnd"/>
      <w:r w:rsidRPr="00C520C3">
        <w:rPr>
          <w:sz w:val="20"/>
          <w:szCs w:val="20"/>
        </w:rPr>
        <w:t xml:space="preserve"> en niet is gebonden aan een benchmark, waardoor het actief kan afwijken van standaardindices</w:t>
      </w:r>
    </w:p>
    <w:p w14:paraId="5338BD65" w14:textId="77777777" w:rsidR="00EE37EA" w:rsidRPr="00C520C3" w:rsidRDefault="00EE37EA" w:rsidP="00EE37EA">
      <w:pPr>
        <w:rPr>
          <w:sz w:val="20"/>
          <w:szCs w:val="20"/>
        </w:rPr>
      </w:pPr>
      <w:r w:rsidRPr="00C520C3">
        <w:rPr>
          <w:sz w:val="20"/>
          <w:szCs w:val="20"/>
        </w:rPr>
        <w:t xml:space="preserve">Het </w:t>
      </w:r>
      <w:r w:rsidRPr="00C520C3">
        <w:rPr>
          <w:i/>
          <w:iCs/>
          <w:sz w:val="20"/>
          <w:szCs w:val="20"/>
        </w:rPr>
        <w:t>Duurzaamheidsinformatie</w:t>
      </w:r>
      <w:r w:rsidRPr="00C520C3">
        <w:rPr>
          <w:sz w:val="20"/>
          <w:szCs w:val="20"/>
        </w:rPr>
        <w:t xml:space="preserve">-document gaat verder in op de selectieprocedure: ondernemingen worden eerst beoordeeld op naleving van de OESO-richtlijnen, VN-principes, en ILO-normen, waarna pas financiële analyse volgt. Er wordt bovendien beschreven dat ASN een </w:t>
      </w:r>
      <w:r w:rsidRPr="00C520C3">
        <w:rPr>
          <w:i/>
          <w:iCs/>
          <w:sz w:val="20"/>
          <w:szCs w:val="20"/>
        </w:rPr>
        <w:t>Impactcommissie</w:t>
      </w:r>
      <w:r w:rsidRPr="00C520C3">
        <w:rPr>
          <w:sz w:val="20"/>
          <w:szCs w:val="20"/>
        </w:rPr>
        <w:t xml:space="preserve"> heeft die continu toezicht houdt op de samenstelling van het fonds</w:t>
      </w:r>
    </w:p>
    <w:p w14:paraId="42C69AD1" w14:textId="77777777" w:rsidR="00EE37EA" w:rsidRPr="00C520C3" w:rsidRDefault="00EE37EA" w:rsidP="00EE37EA">
      <w:pPr>
        <w:rPr>
          <w:sz w:val="20"/>
          <w:szCs w:val="20"/>
        </w:rPr>
      </w:pPr>
      <w:r w:rsidRPr="00C520C3">
        <w:rPr>
          <w:sz w:val="20"/>
          <w:szCs w:val="20"/>
        </w:rPr>
        <w:t xml:space="preserve">In de </w:t>
      </w:r>
      <w:proofErr w:type="spellStart"/>
      <w:r w:rsidRPr="00C520C3">
        <w:rPr>
          <w:i/>
          <w:iCs/>
          <w:sz w:val="20"/>
          <w:szCs w:val="20"/>
        </w:rPr>
        <w:t>Factsheet</w:t>
      </w:r>
      <w:proofErr w:type="spellEnd"/>
      <w:r w:rsidRPr="00C520C3">
        <w:rPr>
          <w:i/>
          <w:iCs/>
          <w:sz w:val="20"/>
          <w:szCs w:val="20"/>
        </w:rPr>
        <w:t xml:space="preserve"> (sept. 2025)</w:t>
      </w:r>
      <w:r w:rsidRPr="00C520C3">
        <w:rPr>
          <w:sz w:val="20"/>
          <w:szCs w:val="20"/>
        </w:rPr>
        <w:t xml:space="preserve"> worden bovendien concrete cijfers gedeeld over sectorverdeling, landenverdeling, top-10 belangen, en behaalde rendementen. Dat maakt de strategie goed te volgen voor zowel particuliere als professionele klanten</w:t>
      </w:r>
    </w:p>
    <w:p w14:paraId="582E1692" w14:textId="77777777" w:rsidR="00EE37EA" w:rsidRPr="00C520C3" w:rsidRDefault="00EE37EA" w:rsidP="00EE37EA">
      <w:pPr>
        <w:rPr>
          <w:sz w:val="20"/>
          <w:szCs w:val="20"/>
        </w:rPr>
      </w:pPr>
      <w:r w:rsidRPr="00C520C3">
        <w:rPr>
          <w:sz w:val="20"/>
          <w:szCs w:val="20"/>
        </w:rPr>
        <w:t>Beoordeling:</w:t>
      </w:r>
      <w:r w:rsidRPr="00C520C3">
        <w:rPr>
          <w:sz w:val="20"/>
          <w:szCs w:val="20"/>
        </w:rPr>
        <w:br/>
        <w:t>Zeer transparant over strategie, selectie, en portefeuillekeuzes.</w:t>
      </w:r>
      <w:r w:rsidRPr="00C520C3">
        <w:rPr>
          <w:sz w:val="20"/>
          <w:szCs w:val="20"/>
        </w:rPr>
        <w:br/>
      </w:r>
      <w:r w:rsidRPr="00C520C3">
        <w:rPr>
          <w:b/>
          <w:bCs/>
          <w:sz w:val="20"/>
          <w:szCs w:val="20"/>
        </w:rPr>
        <w:t xml:space="preserve"> Score: 9/10</w:t>
      </w:r>
    </w:p>
    <w:p w14:paraId="7B24C649" w14:textId="77777777" w:rsidR="00EE37EA" w:rsidRPr="00C520C3" w:rsidRDefault="00EE37EA" w:rsidP="00EE37EA">
      <w:pPr>
        <w:rPr>
          <w:sz w:val="20"/>
          <w:szCs w:val="20"/>
        </w:rPr>
      </w:pPr>
    </w:p>
    <w:p w14:paraId="4CD7EA43" w14:textId="77777777" w:rsidR="00EE37EA" w:rsidRPr="00C520C3" w:rsidRDefault="00EE37EA" w:rsidP="00EE37EA">
      <w:pPr>
        <w:rPr>
          <w:b/>
          <w:bCs/>
          <w:sz w:val="20"/>
          <w:szCs w:val="20"/>
        </w:rPr>
      </w:pPr>
      <w:r w:rsidRPr="00C520C3">
        <w:rPr>
          <w:b/>
          <w:bCs/>
          <w:sz w:val="20"/>
          <w:szCs w:val="20"/>
        </w:rPr>
        <w:t>2. Historische risico/rendementsverhouding (25%)</w:t>
      </w:r>
    </w:p>
    <w:p w14:paraId="1242DD0A" w14:textId="77777777" w:rsidR="00EE37EA" w:rsidRPr="00C520C3" w:rsidRDefault="00EE37EA" w:rsidP="00EE37EA">
      <w:pPr>
        <w:rPr>
          <w:sz w:val="20"/>
          <w:szCs w:val="20"/>
        </w:rPr>
      </w:pPr>
      <w:r w:rsidRPr="00C520C3">
        <w:rPr>
          <w:sz w:val="20"/>
          <w:szCs w:val="20"/>
        </w:rPr>
        <w:t xml:space="preserve">De prestaties over de afgelopen jaren zijn duidelijk weergegeven in de </w:t>
      </w:r>
      <w:proofErr w:type="spellStart"/>
      <w:r w:rsidRPr="00C520C3">
        <w:rPr>
          <w:i/>
          <w:iCs/>
          <w:sz w:val="20"/>
          <w:szCs w:val="20"/>
        </w:rPr>
        <w:t>Factsheet</w:t>
      </w:r>
      <w:proofErr w:type="spellEnd"/>
      <w:r w:rsidRPr="00C520C3">
        <w:rPr>
          <w:i/>
          <w:iCs/>
          <w:sz w:val="20"/>
          <w:szCs w:val="20"/>
        </w:rPr>
        <w:t xml:space="preserve"> (2025)</w:t>
      </w:r>
      <w:r w:rsidRPr="00C520C3">
        <w:rPr>
          <w:sz w:val="20"/>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0"/>
        <w:gridCol w:w="1449"/>
        <w:gridCol w:w="4103"/>
      </w:tblGrid>
      <w:tr w:rsidR="00EE37EA" w:rsidRPr="00EE37EA" w14:paraId="77A8193B" w14:textId="77777777" w:rsidTr="00F00533">
        <w:trPr>
          <w:tblHeader/>
          <w:tblCellSpacing w:w="15" w:type="dxa"/>
        </w:trPr>
        <w:tc>
          <w:tcPr>
            <w:tcW w:w="0" w:type="auto"/>
            <w:vAlign w:val="center"/>
            <w:hideMark/>
          </w:tcPr>
          <w:p w14:paraId="2A26942A" w14:textId="77777777" w:rsidR="00EE37EA" w:rsidRPr="00C520C3" w:rsidRDefault="00EE37EA" w:rsidP="00F00533">
            <w:pPr>
              <w:rPr>
                <w:sz w:val="20"/>
                <w:szCs w:val="20"/>
              </w:rPr>
            </w:pPr>
            <w:r w:rsidRPr="00C520C3">
              <w:rPr>
                <w:sz w:val="20"/>
                <w:szCs w:val="20"/>
              </w:rPr>
              <w:t>Periode</w:t>
            </w:r>
          </w:p>
        </w:tc>
        <w:tc>
          <w:tcPr>
            <w:tcW w:w="0" w:type="auto"/>
            <w:vAlign w:val="center"/>
            <w:hideMark/>
          </w:tcPr>
          <w:p w14:paraId="250EC655" w14:textId="77777777" w:rsidR="00EE37EA" w:rsidRPr="00C520C3" w:rsidRDefault="00EE37EA" w:rsidP="00F00533">
            <w:pPr>
              <w:rPr>
                <w:sz w:val="20"/>
                <w:szCs w:val="20"/>
              </w:rPr>
            </w:pPr>
            <w:r w:rsidRPr="00C520C3">
              <w:rPr>
                <w:sz w:val="20"/>
                <w:szCs w:val="20"/>
              </w:rPr>
              <w:t>Fondsrendement</w:t>
            </w:r>
          </w:p>
        </w:tc>
        <w:tc>
          <w:tcPr>
            <w:tcW w:w="0" w:type="auto"/>
            <w:vAlign w:val="center"/>
            <w:hideMark/>
          </w:tcPr>
          <w:p w14:paraId="42DB71C3" w14:textId="77777777" w:rsidR="00EE37EA" w:rsidRPr="00EE37EA" w:rsidRDefault="00EE37EA" w:rsidP="00F00533">
            <w:pPr>
              <w:rPr>
                <w:sz w:val="20"/>
                <w:szCs w:val="20"/>
                <w:lang w:val="en-US"/>
              </w:rPr>
            </w:pPr>
            <w:r w:rsidRPr="00EE37EA">
              <w:rPr>
                <w:sz w:val="20"/>
                <w:szCs w:val="20"/>
                <w:lang w:val="en-US"/>
              </w:rPr>
              <w:t>Benchmark (ACWI Climate Paris Aligned TR Index)</w:t>
            </w:r>
          </w:p>
        </w:tc>
      </w:tr>
      <w:tr w:rsidR="00EE37EA" w:rsidRPr="00C520C3" w14:paraId="580CD405" w14:textId="77777777" w:rsidTr="00F00533">
        <w:trPr>
          <w:tblCellSpacing w:w="15" w:type="dxa"/>
        </w:trPr>
        <w:tc>
          <w:tcPr>
            <w:tcW w:w="0" w:type="auto"/>
            <w:vAlign w:val="center"/>
            <w:hideMark/>
          </w:tcPr>
          <w:p w14:paraId="06DCF302" w14:textId="77777777" w:rsidR="00EE37EA" w:rsidRPr="00C520C3" w:rsidRDefault="00EE37EA" w:rsidP="00F00533">
            <w:pPr>
              <w:rPr>
                <w:sz w:val="20"/>
                <w:szCs w:val="20"/>
              </w:rPr>
            </w:pPr>
            <w:r w:rsidRPr="00C520C3">
              <w:rPr>
                <w:sz w:val="20"/>
                <w:szCs w:val="20"/>
              </w:rPr>
              <w:t>3 jaar (</w:t>
            </w:r>
            <w:proofErr w:type="spellStart"/>
            <w:r w:rsidRPr="00C520C3">
              <w:rPr>
                <w:sz w:val="20"/>
                <w:szCs w:val="20"/>
              </w:rPr>
              <w:t>geannualiseerd</w:t>
            </w:r>
            <w:proofErr w:type="spellEnd"/>
            <w:r w:rsidRPr="00C520C3">
              <w:rPr>
                <w:sz w:val="20"/>
                <w:szCs w:val="20"/>
              </w:rPr>
              <w:t>)</w:t>
            </w:r>
          </w:p>
        </w:tc>
        <w:tc>
          <w:tcPr>
            <w:tcW w:w="0" w:type="auto"/>
            <w:vAlign w:val="center"/>
            <w:hideMark/>
          </w:tcPr>
          <w:p w14:paraId="65634FE4" w14:textId="77777777" w:rsidR="00EE37EA" w:rsidRPr="00C520C3" w:rsidRDefault="00EE37EA" w:rsidP="00F00533">
            <w:pPr>
              <w:rPr>
                <w:sz w:val="20"/>
                <w:szCs w:val="20"/>
              </w:rPr>
            </w:pPr>
            <w:r w:rsidRPr="00C520C3">
              <w:rPr>
                <w:sz w:val="20"/>
                <w:szCs w:val="20"/>
              </w:rPr>
              <w:t>14,01 %</w:t>
            </w:r>
          </w:p>
        </w:tc>
        <w:tc>
          <w:tcPr>
            <w:tcW w:w="0" w:type="auto"/>
            <w:vAlign w:val="center"/>
            <w:hideMark/>
          </w:tcPr>
          <w:p w14:paraId="2DFCD890" w14:textId="77777777" w:rsidR="00EE37EA" w:rsidRPr="00C520C3" w:rsidRDefault="00EE37EA" w:rsidP="00F00533">
            <w:pPr>
              <w:rPr>
                <w:sz w:val="20"/>
                <w:szCs w:val="20"/>
              </w:rPr>
            </w:pPr>
            <w:r w:rsidRPr="00C520C3">
              <w:rPr>
                <w:sz w:val="20"/>
                <w:szCs w:val="20"/>
              </w:rPr>
              <w:t>15,03 %</w:t>
            </w:r>
          </w:p>
        </w:tc>
      </w:tr>
      <w:tr w:rsidR="00EE37EA" w:rsidRPr="00C520C3" w14:paraId="6FCD2E1C" w14:textId="77777777" w:rsidTr="00F00533">
        <w:trPr>
          <w:tblCellSpacing w:w="15" w:type="dxa"/>
        </w:trPr>
        <w:tc>
          <w:tcPr>
            <w:tcW w:w="0" w:type="auto"/>
            <w:vAlign w:val="center"/>
            <w:hideMark/>
          </w:tcPr>
          <w:p w14:paraId="7F2E9722" w14:textId="77777777" w:rsidR="00EE37EA" w:rsidRPr="00C520C3" w:rsidRDefault="00EE37EA" w:rsidP="00F00533">
            <w:pPr>
              <w:rPr>
                <w:sz w:val="20"/>
                <w:szCs w:val="20"/>
              </w:rPr>
            </w:pPr>
            <w:r w:rsidRPr="00C520C3">
              <w:rPr>
                <w:sz w:val="20"/>
                <w:szCs w:val="20"/>
              </w:rPr>
              <w:t>5 jaar (</w:t>
            </w:r>
            <w:proofErr w:type="spellStart"/>
            <w:r w:rsidRPr="00C520C3">
              <w:rPr>
                <w:sz w:val="20"/>
                <w:szCs w:val="20"/>
              </w:rPr>
              <w:t>geannualiseerd</w:t>
            </w:r>
            <w:proofErr w:type="spellEnd"/>
            <w:r w:rsidRPr="00C520C3">
              <w:rPr>
                <w:sz w:val="20"/>
                <w:szCs w:val="20"/>
              </w:rPr>
              <w:t>)</w:t>
            </w:r>
          </w:p>
        </w:tc>
        <w:tc>
          <w:tcPr>
            <w:tcW w:w="0" w:type="auto"/>
            <w:vAlign w:val="center"/>
            <w:hideMark/>
          </w:tcPr>
          <w:p w14:paraId="3968F2F5" w14:textId="77777777" w:rsidR="00EE37EA" w:rsidRPr="00C520C3" w:rsidRDefault="00EE37EA" w:rsidP="00F00533">
            <w:pPr>
              <w:rPr>
                <w:sz w:val="20"/>
                <w:szCs w:val="20"/>
              </w:rPr>
            </w:pPr>
            <w:r w:rsidRPr="00C520C3">
              <w:rPr>
                <w:sz w:val="20"/>
                <w:szCs w:val="20"/>
              </w:rPr>
              <w:t>9,09 %</w:t>
            </w:r>
          </w:p>
        </w:tc>
        <w:tc>
          <w:tcPr>
            <w:tcW w:w="0" w:type="auto"/>
            <w:vAlign w:val="center"/>
            <w:hideMark/>
          </w:tcPr>
          <w:p w14:paraId="0A3D615F" w14:textId="77777777" w:rsidR="00EE37EA" w:rsidRPr="00C520C3" w:rsidRDefault="00EE37EA" w:rsidP="00F00533">
            <w:pPr>
              <w:rPr>
                <w:sz w:val="20"/>
                <w:szCs w:val="20"/>
              </w:rPr>
            </w:pPr>
            <w:r w:rsidRPr="00C520C3">
              <w:rPr>
                <w:sz w:val="20"/>
                <w:szCs w:val="20"/>
              </w:rPr>
              <w:t>12,51 %</w:t>
            </w:r>
          </w:p>
        </w:tc>
      </w:tr>
      <w:tr w:rsidR="00EE37EA" w:rsidRPr="00C520C3" w14:paraId="1BC2DCAD" w14:textId="77777777" w:rsidTr="00F00533">
        <w:trPr>
          <w:tblCellSpacing w:w="15" w:type="dxa"/>
        </w:trPr>
        <w:tc>
          <w:tcPr>
            <w:tcW w:w="0" w:type="auto"/>
            <w:vAlign w:val="center"/>
            <w:hideMark/>
          </w:tcPr>
          <w:p w14:paraId="2D6ED5A5" w14:textId="77777777" w:rsidR="00EE37EA" w:rsidRPr="00C520C3" w:rsidRDefault="00EE37EA" w:rsidP="00F00533">
            <w:pPr>
              <w:rPr>
                <w:sz w:val="20"/>
                <w:szCs w:val="20"/>
              </w:rPr>
            </w:pPr>
            <w:r w:rsidRPr="00C520C3">
              <w:rPr>
                <w:sz w:val="20"/>
                <w:szCs w:val="20"/>
              </w:rPr>
              <w:t>10 jaar (</w:t>
            </w:r>
            <w:proofErr w:type="spellStart"/>
            <w:r w:rsidRPr="00C520C3">
              <w:rPr>
                <w:sz w:val="20"/>
                <w:szCs w:val="20"/>
              </w:rPr>
              <w:t>geannualiseerd</w:t>
            </w:r>
            <w:proofErr w:type="spellEnd"/>
            <w:r w:rsidRPr="00C520C3">
              <w:rPr>
                <w:sz w:val="20"/>
                <w:szCs w:val="20"/>
              </w:rPr>
              <w:t>)</w:t>
            </w:r>
          </w:p>
        </w:tc>
        <w:tc>
          <w:tcPr>
            <w:tcW w:w="0" w:type="auto"/>
            <w:vAlign w:val="center"/>
            <w:hideMark/>
          </w:tcPr>
          <w:p w14:paraId="1006DCF5" w14:textId="77777777" w:rsidR="00EE37EA" w:rsidRPr="00C520C3" w:rsidRDefault="00EE37EA" w:rsidP="00F00533">
            <w:pPr>
              <w:rPr>
                <w:sz w:val="20"/>
                <w:szCs w:val="20"/>
              </w:rPr>
            </w:pPr>
            <w:r w:rsidRPr="00C520C3">
              <w:rPr>
                <w:sz w:val="20"/>
                <w:szCs w:val="20"/>
              </w:rPr>
              <w:t>7,82 %</w:t>
            </w:r>
          </w:p>
        </w:tc>
        <w:tc>
          <w:tcPr>
            <w:tcW w:w="0" w:type="auto"/>
            <w:vAlign w:val="center"/>
            <w:hideMark/>
          </w:tcPr>
          <w:p w14:paraId="72575773" w14:textId="77777777" w:rsidR="00EE37EA" w:rsidRPr="00C520C3" w:rsidRDefault="00EE37EA" w:rsidP="00F00533">
            <w:pPr>
              <w:rPr>
                <w:sz w:val="20"/>
                <w:szCs w:val="20"/>
              </w:rPr>
            </w:pPr>
            <w:r w:rsidRPr="00C520C3">
              <w:rPr>
                <w:sz w:val="20"/>
                <w:szCs w:val="20"/>
              </w:rPr>
              <w:t>9,63 %</w:t>
            </w:r>
          </w:p>
        </w:tc>
      </w:tr>
      <w:tr w:rsidR="00EE37EA" w:rsidRPr="00C520C3" w14:paraId="0ED10EDE" w14:textId="77777777" w:rsidTr="00F00533">
        <w:trPr>
          <w:tblCellSpacing w:w="15" w:type="dxa"/>
        </w:trPr>
        <w:tc>
          <w:tcPr>
            <w:tcW w:w="0" w:type="auto"/>
            <w:vAlign w:val="center"/>
            <w:hideMark/>
          </w:tcPr>
          <w:p w14:paraId="1D98A31B" w14:textId="77777777" w:rsidR="00EE37EA" w:rsidRPr="00C520C3" w:rsidRDefault="00EE37EA" w:rsidP="00F00533">
            <w:pPr>
              <w:rPr>
                <w:sz w:val="20"/>
                <w:szCs w:val="20"/>
              </w:rPr>
            </w:pPr>
            <w:r w:rsidRPr="00C520C3">
              <w:rPr>
                <w:sz w:val="20"/>
                <w:szCs w:val="20"/>
              </w:rPr>
              <w:t>15 jaar (</w:t>
            </w:r>
            <w:proofErr w:type="spellStart"/>
            <w:r w:rsidRPr="00C520C3">
              <w:rPr>
                <w:sz w:val="20"/>
                <w:szCs w:val="20"/>
              </w:rPr>
              <w:t>geannualiseerd</w:t>
            </w:r>
            <w:proofErr w:type="spellEnd"/>
            <w:r w:rsidRPr="00C520C3">
              <w:rPr>
                <w:sz w:val="20"/>
                <w:szCs w:val="20"/>
              </w:rPr>
              <w:t>)</w:t>
            </w:r>
          </w:p>
        </w:tc>
        <w:tc>
          <w:tcPr>
            <w:tcW w:w="0" w:type="auto"/>
            <w:vAlign w:val="center"/>
            <w:hideMark/>
          </w:tcPr>
          <w:p w14:paraId="03B5F683" w14:textId="77777777" w:rsidR="00EE37EA" w:rsidRPr="00C520C3" w:rsidRDefault="00EE37EA" w:rsidP="00F00533">
            <w:pPr>
              <w:rPr>
                <w:sz w:val="20"/>
                <w:szCs w:val="20"/>
              </w:rPr>
            </w:pPr>
            <w:r w:rsidRPr="00C520C3">
              <w:rPr>
                <w:sz w:val="20"/>
                <w:szCs w:val="20"/>
              </w:rPr>
              <w:t>10,11 %</w:t>
            </w:r>
          </w:p>
        </w:tc>
        <w:tc>
          <w:tcPr>
            <w:tcW w:w="0" w:type="auto"/>
            <w:vAlign w:val="center"/>
            <w:hideMark/>
          </w:tcPr>
          <w:p w14:paraId="76BEBFCD" w14:textId="77777777" w:rsidR="00EE37EA" w:rsidRPr="00C520C3" w:rsidRDefault="00EE37EA" w:rsidP="00F00533">
            <w:pPr>
              <w:rPr>
                <w:sz w:val="20"/>
                <w:szCs w:val="20"/>
              </w:rPr>
            </w:pPr>
            <w:r w:rsidRPr="00C520C3">
              <w:rPr>
                <w:sz w:val="20"/>
                <w:szCs w:val="20"/>
              </w:rPr>
              <w:t>10,10 %</w:t>
            </w:r>
          </w:p>
        </w:tc>
      </w:tr>
    </w:tbl>
    <w:p w14:paraId="053403A3" w14:textId="77777777" w:rsidR="00EE37EA" w:rsidRPr="00C520C3" w:rsidRDefault="00EE37EA" w:rsidP="00EE37EA">
      <w:pPr>
        <w:rPr>
          <w:sz w:val="20"/>
          <w:szCs w:val="20"/>
        </w:rPr>
      </w:pPr>
      <w:r w:rsidRPr="00C520C3">
        <w:rPr>
          <w:sz w:val="20"/>
          <w:szCs w:val="20"/>
        </w:rPr>
        <w:t>Het fonds presteert stabiel en consistent, maar blijft iets achter op de benchmark — een logisch gevolg van de bewuste uitsluitingen van niet-duurzame sectoren (zoals fossiele energie).</w:t>
      </w:r>
    </w:p>
    <w:p w14:paraId="377C4567" w14:textId="77777777" w:rsidR="00EE37EA" w:rsidRPr="00C520C3" w:rsidRDefault="00EE37EA" w:rsidP="00EE37EA">
      <w:pPr>
        <w:rPr>
          <w:sz w:val="20"/>
          <w:szCs w:val="20"/>
        </w:rPr>
      </w:pPr>
      <w:r w:rsidRPr="00C520C3">
        <w:rPr>
          <w:sz w:val="20"/>
          <w:szCs w:val="20"/>
        </w:rPr>
        <w:t xml:space="preserve">In het </w:t>
      </w:r>
      <w:r w:rsidRPr="00C520C3">
        <w:rPr>
          <w:i/>
          <w:iCs/>
          <w:sz w:val="20"/>
          <w:szCs w:val="20"/>
        </w:rPr>
        <w:t>Essentiële-informatiedocument</w:t>
      </w:r>
      <w:r w:rsidRPr="00C520C3">
        <w:rPr>
          <w:sz w:val="20"/>
          <w:szCs w:val="20"/>
        </w:rPr>
        <w:t xml:space="preserve"> wordt het fonds ingedeeld in risicoklasse 4 van 7, wat neerkomt op een gemiddeld risico — passend bij een wereldwijde aandelenportefeuille met lange beleggingshorizon</w:t>
      </w:r>
    </w:p>
    <w:p w14:paraId="357F5B4F" w14:textId="77777777" w:rsidR="00EE37EA" w:rsidRPr="00C520C3" w:rsidRDefault="00EE37EA" w:rsidP="00EE37EA">
      <w:pPr>
        <w:rPr>
          <w:sz w:val="20"/>
          <w:szCs w:val="20"/>
        </w:rPr>
      </w:pPr>
      <w:r w:rsidRPr="00C520C3">
        <w:rPr>
          <w:sz w:val="20"/>
          <w:szCs w:val="20"/>
        </w:rPr>
        <w:t>Beoordeling:</w:t>
      </w:r>
      <w:r w:rsidRPr="00C520C3">
        <w:rPr>
          <w:sz w:val="20"/>
          <w:szCs w:val="20"/>
        </w:rPr>
        <w:br/>
        <w:t>Goede verhouding tussen risico en rendement; iets lager rendement door duurzaamheidsfilters, maar stabiel profiel.</w:t>
      </w:r>
      <w:r w:rsidRPr="00C520C3">
        <w:rPr>
          <w:sz w:val="20"/>
          <w:szCs w:val="20"/>
        </w:rPr>
        <w:br/>
      </w:r>
      <w:r w:rsidRPr="00C520C3">
        <w:rPr>
          <w:b/>
          <w:bCs/>
          <w:sz w:val="20"/>
          <w:szCs w:val="20"/>
        </w:rPr>
        <w:t>Score: 8/10</w:t>
      </w:r>
    </w:p>
    <w:p w14:paraId="71DEA5D6" w14:textId="77777777" w:rsidR="00EE37EA" w:rsidRPr="00C520C3" w:rsidRDefault="00EE37EA" w:rsidP="00EE37EA">
      <w:pPr>
        <w:rPr>
          <w:sz w:val="20"/>
          <w:szCs w:val="20"/>
        </w:rPr>
      </w:pPr>
    </w:p>
    <w:p w14:paraId="058CEF2B" w14:textId="77777777" w:rsidR="00EE37EA" w:rsidRPr="00C520C3" w:rsidRDefault="00EE37EA" w:rsidP="00EE37EA">
      <w:pPr>
        <w:rPr>
          <w:b/>
          <w:bCs/>
          <w:sz w:val="20"/>
          <w:szCs w:val="20"/>
        </w:rPr>
      </w:pPr>
      <w:r w:rsidRPr="00C520C3">
        <w:rPr>
          <w:b/>
          <w:bCs/>
          <w:sz w:val="20"/>
          <w:szCs w:val="20"/>
        </w:rPr>
        <w:t>3. Kosten (15%)</w:t>
      </w:r>
    </w:p>
    <w:p w14:paraId="0ABFF1CE" w14:textId="77777777" w:rsidR="00EE37EA" w:rsidRPr="00C520C3" w:rsidRDefault="00EE37EA" w:rsidP="00EE37EA">
      <w:pPr>
        <w:rPr>
          <w:sz w:val="20"/>
          <w:szCs w:val="20"/>
        </w:rPr>
      </w:pPr>
      <w:r w:rsidRPr="00C520C3">
        <w:rPr>
          <w:sz w:val="20"/>
          <w:szCs w:val="20"/>
        </w:rPr>
        <w:t xml:space="preserve">Uit het </w:t>
      </w:r>
      <w:r w:rsidRPr="00C520C3">
        <w:rPr>
          <w:i/>
          <w:iCs/>
          <w:sz w:val="20"/>
          <w:szCs w:val="20"/>
        </w:rPr>
        <w:t>Essentiële-informatiedocument (2025)</w:t>
      </w:r>
      <w:r w:rsidRPr="00C520C3">
        <w:rPr>
          <w:sz w:val="20"/>
          <w:szCs w:val="20"/>
        </w:rPr>
        <w:t>:</w:t>
      </w:r>
    </w:p>
    <w:p w14:paraId="00AC339F" w14:textId="77777777" w:rsidR="00EE37EA" w:rsidRPr="00C520C3" w:rsidRDefault="00EE37EA" w:rsidP="00E1671C">
      <w:pPr>
        <w:numPr>
          <w:ilvl w:val="0"/>
          <w:numId w:val="27"/>
        </w:numPr>
        <w:spacing w:line="259" w:lineRule="auto"/>
        <w:rPr>
          <w:sz w:val="20"/>
          <w:szCs w:val="20"/>
        </w:rPr>
      </w:pPr>
      <w:r w:rsidRPr="00C520C3">
        <w:rPr>
          <w:sz w:val="20"/>
          <w:szCs w:val="20"/>
        </w:rPr>
        <w:t>Beheerskosten: 0,85 % per jaar</w:t>
      </w:r>
    </w:p>
    <w:p w14:paraId="69450EAF" w14:textId="77777777" w:rsidR="00EE37EA" w:rsidRPr="00C520C3" w:rsidRDefault="00EE37EA" w:rsidP="00E1671C">
      <w:pPr>
        <w:numPr>
          <w:ilvl w:val="0"/>
          <w:numId w:val="27"/>
        </w:numPr>
        <w:spacing w:line="259" w:lineRule="auto"/>
        <w:rPr>
          <w:sz w:val="20"/>
          <w:szCs w:val="20"/>
        </w:rPr>
      </w:pPr>
      <w:r w:rsidRPr="00C520C3">
        <w:rPr>
          <w:sz w:val="20"/>
          <w:szCs w:val="20"/>
        </w:rPr>
        <w:t>Transactiekosten: 0,09 % per jaar</w:t>
      </w:r>
    </w:p>
    <w:p w14:paraId="19514B0F" w14:textId="77777777" w:rsidR="00EE37EA" w:rsidRPr="00C520C3" w:rsidRDefault="00EE37EA" w:rsidP="00E1671C">
      <w:pPr>
        <w:numPr>
          <w:ilvl w:val="0"/>
          <w:numId w:val="27"/>
        </w:numPr>
        <w:spacing w:line="259" w:lineRule="auto"/>
        <w:rPr>
          <w:sz w:val="20"/>
          <w:szCs w:val="20"/>
        </w:rPr>
      </w:pPr>
      <w:r w:rsidRPr="00C520C3">
        <w:rPr>
          <w:sz w:val="20"/>
          <w:szCs w:val="20"/>
        </w:rPr>
        <w:t>Instapkosten/ uitstapkosten: 0 %</w:t>
      </w:r>
    </w:p>
    <w:p w14:paraId="5EB94A93" w14:textId="77777777" w:rsidR="00EE37EA" w:rsidRPr="00C520C3" w:rsidRDefault="00EE37EA" w:rsidP="00E1671C">
      <w:pPr>
        <w:numPr>
          <w:ilvl w:val="0"/>
          <w:numId w:val="27"/>
        </w:numPr>
        <w:spacing w:line="259" w:lineRule="auto"/>
        <w:rPr>
          <w:sz w:val="20"/>
          <w:szCs w:val="20"/>
        </w:rPr>
      </w:pPr>
      <w:r w:rsidRPr="00C520C3">
        <w:rPr>
          <w:sz w:val="20"/>
          <w:szCs w:val="20"/>
        </w:rPr>
        <w:t>Totale kosten: 0,94 % per jaar</w:t>
      </w:r>
    </w:p>
    <w:p w14:paraId="056ED83A" w14:textId="77777777" w:rsidR="00EE37EA" w:rsidRPr="00C520C3" w:rsidRDefault="00EE37EA" w:rsidP="00EE37EA">
      <w:pPr>
        <w:rPr>
          <w:sz w:val="20"/>
          <w:szCs w:val="20"/>
        </w:rPr>
      </w:pPr>
      <w:r w:rsidRPr="00C520C3">
        <w:rPr>
          <w:sz w:val="20"/>
          <w:szCs w:val="20"/>
        </w:rPr>
        <w:t xml:space="preserve">De kosten liggen in lijn met andere actief beheerde wereldwijde aandelenfondsen. Vergeleken met passieve indexfondsen is dit hoger, maar dat is gerechtvaardigd door de extra duurzaamheidsanalyse, </w:t>
      </w:r>
      <w:proofErr w:type="spellStart"/>
      <w:r w:rsidRPr="00C520C3">
        <w:rPr>
          <w:sz w:val="20"/>
          <w:szCs w:val="20"/>
        </w:rPr>
        <w:t>due</w:t>
      </w:r>
      <w:proofErr w:type="spellEnd"/>
      <w:r w:rsidRPr="00C520C3">
        <w:rPr>
          <w:sz w:val="20"/>
          <w:szCs w:val="20"/>
        </w:rPr>
        <w:t xml:space="preserve"> diligence en het engagementproces dat ASN uitvoert.</w:t>
      </w:r>
    </w:p>
    <w:p w14:paraId="0869CEFD" w14:textId="77777777" w:rsidR="00EE37EA" w:rsidRPr="00C520C3" w:rsidRDefault="00EE37EA" w:rsidP="00EE37EA">
      <w:pPr>
        <w:rPr>
          <w:sz w:val="20"/>
          <w:szCs w:val="20"/>
        </w:rPr>
      </w:pPr>
      <w:r w:rsidRPr="00C520C3">
        <w:rPr>
          <w:sz w:val="20"/>
          <w:szCs w:val="20"/>
        </w:rPr>
        <w:t>Beoordeling:</w:t>
      </w:r>
      <w:r w:rsidRPr="00C520C3">
        <w:rPr>
          <w:sz w:val="20"/>
          <w:szCs w:val="20"/>
        </w:rPr>
        <w:br/>
        <w:t>Transparante kostenstructuur, redelijk ten opzichte van vergelijkbare duurzame fondsen.</w:t>
      </w:r>
      <w:r w:rsidRPr="00C520C3">
        <w:rPr>
          <w:sz w:val="20"/>
          <w:szCs w:val="20"/>
        </w:rPr>
        <w:br/>
      </w:r>
      <w:r w:rsidRPr="00C520C3">
        <w:rPr>
          <w:b/>
          <w:bCs/>
          <w:sz w:val="20"/>
          <w:szCs w:val="20"/>
        </w:rPr>
        <w:t>Score: 8,5/10</w:t>
      </w:r>
    </w:p>
    <w:p w14:paraId="5E366FF0" w14:textId="77777777" w:rsidR="00EE37EA" w:rsidRPr="00C520C3" w:rsidRDefault="00EE37EA" w:rsidP="00EE37EA">
      <w:pPr>
        <w:rPr>
          <w:sz w:val="20"/>
          <w:szCs w:val="20"/>
        </w:rPr>
      </w:pPr>
    </w:p>
    <w:p w14:paraId="69713495" w14:textId="77777777" w:rsidR="00EE37EA" w:rsidRPr="00C520C3" w:rsidRDefault="00EE37EA" w:rsidP="00EE37EA">
      <w:pPr>
        <w:rPr>
          <w:sz w:val="20"/>
          <w:szCs w:val="20"/>
        </w:rPr>
      </w:pPr>
      <w:r w:rsidRPr="00C520C3">
        <w:rPr>
          <w:sz w:val="20"/>
          <w:szCs w:val="20"/>
        </w:rPr>
        <w:t>Duurzaamheidscriteria</w:t>
      </w:r>
    </w:p>
    <w:p w14:paraId="36FB35A2" w14:textId="77777777" w:rsidR="00EE37EA" w:rsidRPr="00C520C3" w:rsidRDefault="00EE37EA" w:rsidP="00EE37EA">
      <w:pPr>
        <w:rPr>
          <w:b/>
          <w:bCs/>
          <w:sz w:val="20"/>
          <w:szCs w:val="20"/>
        </w:rPr>
      </w:pPr>
      <w:r w:rsidRPr="00C520C3">
        <w:rPr>
          <w:b/>
          <w:bCs/>
          <w:sz w:val="20"/>
          <w:szCs w:val="20"/>
        </w:rPr>
        <w:t>4. Aansluiting bij de strategie van het adviesbureau (30%)</w:t>
      </w:r>
    </w:p>
    <w:p w14:paraId="5E456B34" w14:textId="77777777" w:rsidR="00EE37EA" w:rsidRPr="00C520C3" w:rsidRDefault="00EE37EA" w:rsidP="00EE37EA">
      <w:pPr>
        <w:rPr>
          <w:sz w:val="20"/>
          <w:szCs w:val="20"/>
        </w:rPr>
      </w:pPr>
      <w:r w:rsidRPr="00C520C3">
        <w:rPr>
          <w:sz w:val="20"/>
          <w:szCs w:val="20"/>
        </w:rPr>
        <w:t>Dit is het zwaarstwegende criterium — en precies waar dit fonds excelleert.</w:t>
      </w:r>
    </w:p>
    <w:p w14:paraId="282EA48D" w14:textId="77777777" w:rsidR="00EE37EA" w:rsidRPr="00C520C3" w:rsidRDefault="00EE37EA" w:rsidP="00EE37EA">
      <w:pPr>
        <w:rPr>
          <w:sz w:val="20"/>
          <w:szCs w:val="20"/>
        </w:rPr>
      </w:pPr>
      <w:r w:rsidRPr="00C520C3">
        <w:rPr>
          <w:rFonts w:ascii="Segoe UI Emoji" w:hAnsi="Segoe UI Emoji" w:cs="Segoe UI Emoji"/>
          <w:sz w:val="20"/>
          <w:szCs w:val="20"/>
        </w:rPr>
        <w:t>D</w:t>
      </w:r>
      <w:r w:rsidRPr="00C520C3">
        <w:rPr>
          <w:sz w:val="20"/>
          <w:szCs w:val="20"/>
        </w:rPr>
        <w:t>uurzaamheidsbeleid</w:t>
      </w:r>
    </w:p>
    <w:p w14:paraId="206B75F7" w14:textId="77777777" w:rsidR="00EE37EA" w:rsidRPr="00C520C3" w:rsidRDefault="00EE37EA" w:rsidP="00EE37EA">
      <w:pPr>
        <w:rPr>
          <w:sz w:val="20"/>
          <w:szCs w:val="20"/>
        </w:rPr>
      </w:pPr>
      <w:r w:rsidRPr="00C520C3">
        <w:rPr>
          <w:sz w:val="20"/>
          <w:szCs w:val="20"/>
        </w:rPr>
        <w:t>Het fonds heeft als expliciete doelstellingen:</w:t>
      </w:r>
    </w:p>
    <w:p w14:paraId="559935CF" w14:textId="77777777" w:rsidR="00EE37EA" w:rsidRPr="00C520C3" w:rsidRDefault="00EE37EA" w:rsidP="00E1671C">
      <w:pPr>
        <w:numPr>
          <w:ilvl w:val="0"/>
          <w:numId w:val="28"/>
        </w:numPr>
        <w:spacing w:line="259" w:lineRule="auto"/>
        <w:rPr>
          <w:sz w:val="20"/>
          <w:szCs w:val="20"/>
        </w:rPr>
      </w:pPr>
      <w:r w:rsidRPr="00C520C3">
        <w:rPr>
          <w:sz w:val="20"/>
          <w:szCs w:val="20"/>
        </w:rPr>
        <w:t xml:space="preserve">CO₂-reductie in lijn met het </w:t>
      </w:r>
      <w:r w:rsidRPr="00C520C3">
        <w:rPr>
          <w:i/>
          <w:iCs/>
          <w:sz w:val="20"/>
          <w:szCs w:val="20"/>
        </w:rPr>
        <w:t>Akkoord van Parijs</w:t>
      </w:r>
      <w:r w:rsidRPr="00C520C3">
        <w:rPr>
          <w:sz w:val="20"/>
          <w:szCs w:val="20"/>
        </w:rPr>
        <w:t xml:space="preserve"> (max. 1,5°C),</w:t>
      </w:r>
    </w:p>
    <w:p w14:paraId="71B21F10" w14:textId="77777777" w:rsidR="00EE37EA" w:rsidRPr="00C520C3" w:rsidRDefault="00EE37EA" w:rsidP="00E1671C">
      <w:pPr>
        <w:numPr>
          <w:ilvl w:val="0"/>
          <w:numId w:val="28"/>
        </w:numPr>
        <w:spacing w:line="259" w:lineRule="auto"/>
        <w:rPr>
          <w:sz w:val="20"/>
          <w:szCs w:val="20"/>
        </w:rPr>
      </w:pPr>
      <w:r w:rsidRPr="00C520C3">
        <w:rPr>
          <w:sz w:val="20"/>
          <w:szCs w:val="20"/>
        </w:rPr>
        <w:t>vermindering van biodiversiteitsverlies per geïnvesteerde euro</w:t>
      </w:r>
    </w:p>
    <w:p w14:paraId="595E92FC" w14:textId="77777777" w:rsidR="00EE37EA" w:rsidRPr="00C520C3" w:rsidRDefault="00EE37EA" w:rsidP="00EE37EA">
      <w:pPr>
        <w:rPr>
          <w:sz w:val="20"/>
          <w:szCs w:val="20"/>
        </w:rPr>
      </w:pPr>
      <w:r w:rsidRPr="00C520C3">
        <w:rPr>
          <w:sz w:val="20"/>
          <w:szCs w:val="20"/>
        </w:rPr>
        <w:t xml:space="preserve">Daarnaast sluit het aan op vier </w:t>
      </w:r>
      <w:proofErr w:type="spellStart"/>
      <w:r w:rsidRPr="00C520C3">
        <w:rPr>
          <w:sz w:val="20"/>
          <w:szCs w:val="20"/>
        </w:rPr>
        <w:t>SDG’s</w:t>
      </w:r>
      <w:proofErr w:type="spellEnd"/>
      <w:r w:rsidRPr="00C520C3">
        <w:rPr>
          <w:sz w:val="20"/>
          <w:szCs w:val="20"/>
        </w:rPr>
        <w:t xml:space="preserve"> (8, 9, 12, 13) en rapporteert het onder artikel 9 van de SFDR – de strengste categorie voor duurzame beleggingsproducten</w:t>
      </w:r>
    </w:p>
    <w:p w14:paraId="1C39B639" w14:textId="77777777" w:rsidR="00EE37EA" w:rsidRPr="00C520C3" w:rsidRDefault="00EE37EA" w:rsidP="00EE37EA">
      <w:pPr>
        <w:rPr>
          <w:sz w:val="20"/>
          <w:szCs w:val="20"/>
        </w:rPr>
      </w:pPr>
      <w:r w:rsidRPr="00C520C3">
        <w:rPr>
          <w:sz w:val="20"/>
          <w:szCs w:val="20"/>
        </w:rPr>
        <w:t>Besluitvormingscriteria</w:t>
      </w:r>
    </w:p>
    <w:p w14:paraId="6D107907" w14:textId="77777777" w:rsidR="00EE37EA" w:rsidRPr="00C520C3" w:rsidRDefault="00EE37EA" w:rsidP="00EE37EA">
      <w:pPr>
        <w:rPr>
          <w:sz w:val="20"/>
          <w:szCs w:val="20"/>
        </w:rPr>
      </w:pPr>
      <w:r w:rsidRPr="00C520C3">
        <w:rPr>
          <w:sz w:val="20"/>
          <w:szCs w:val="20"/>
        </w:rPr>
        <w:t>Het fonds combineert uitsluitingen, positieve selectie (best-in-class), ESG-integratie, impactbeleggen, en actief engagement:</w:t>
      </w:r>
    </w:p>
    <w:p w14:paraId="2BFFF6F5" w14:textId="77777777" w:rsidR="00EE37EA" w:rsidRPr="00C520C3" w:rsidRDefault="00EE37EA" w:rsidP="00E1671C">
      <w:pPr>
        <w:numPr>
          <w:ilvl w:val="0"/>
          <w:numId w:val="29"/>
        </w:numPr>
        <w:spacing w:line="259" w:lineRule="auto"/>
        <w:rPr>
          <w:sz w:val="20"/>
          <w:szCs w:val="20"/>
        </w:rPr>
      </w:pPr>
      <w:r w:rsidRPr="00C520C3">
        <w:rPr>
          <w:sz w:val="20"/>
          <w:szCs w:val="20"/>
        </w:rPr>
        <w:t>Uitsluitingen: geen fossiele brandstoffen, kernenergie, wapenindustrie, mensenrechten</w:t>
      </w:r>
      <w:r w:rsidRPr="00C520C3">
        <w:rPr>
          <w:sz w:val="20"/>
          <w:szCs w:val="20"/>
        </w:rPr>
        <w:softHyphen/>
        <w:t>schenders, bedrijven zonder ethisch beleid of transparantie</w:t>
      </w:r>
    </w:p>
    <w:p w14:paraId="15B1E0C2" w14:textId="77777777" w:rsidR="00EE37EA" w:rsidRPr="00C520C3" w:rsidRDefault="00EE37EA" w:rsidP="00E1671C">
      <w:pPr>
        <w:numPr>
          <w:ilvl w:val="0"/>
          <w:numId w:val="29"/>
        </w:numPr>
        <w:spacing w:line="259" w:lineRule="auto"/>
        <w:rPr>
          <w:sz w:val="20"/>
          <w:szCs w:val="20"/>
        </w:rPr>
      </w:pPr>
      <w:r w:rsidRPr="00C520C3">
        <w:rPr>
          <w:sz w:val="20"/>
          <w:szCs w:val="20"/>
        </w:rPr>
        <w:t>Positieve screening: selectie van ondernemingen die bijdragen aan energietransitie, circulariteit, water</w:t>
      </w:r>
      <w:r w:rsidRPr="00C520C3">
        <w:rPr>
          <w:sz w:val="20"/>
          <w:szCs w:val="20"/>
        </w:rPr>
        <w:softHyphen/>
        <w:t>efficiëntie, en een gezonde samenleving.</w:t>
      </w:r>
    </w:p>
    <w:p w14:paraId="64083E74" w14:textId="77777777" w:rsidR="00EE37EA" w:rsidRPr="00C520C3" w:rsidRDefault="00EE37EA" w:rsidP="00E1671C">
      <w:pPr>
        <w:numPr>
          <w:ilvl w:val="0"/>
          <w:numId w:val="29"/>
        </w:numPr>
        <w:spacing w:line="259" w:lineRule="auto"/>
        <w:rPr>
          <w:sz w:val="20"/>
          <w:szCs w:val="20"/>
        </w:rPr>
      </w:pPr>
      <w:r w:rsidRPr="00C520C3">
        <w:rPr>
          <w:sz w:val="20"/>
          <w:szCs w:val="20"/>
        </w:rPr>
        <w:t>Engagement: als bedrijven afwijken van de criteria, voert ASN actieve gesprekken. Bij blijvende overtreding volgt uitsluiting.</w:t>
      </w:r>
    </w:p>
    <w:p w14:paraId="2B50C906" w14:textId="77777777" w:rsidR="00EE37EA" w:rsidRPr="00C520C3" w:rsidRDefault="00EE37EA" w:rsidP="00E1671C">
      <w:pPr>
        <w:numPr>
          <w:ilvl w:val="0"/>
          <w:numId w:val="29"/>
        </w:numPr>
        <w:spacing w:line="259" w:lineRule="auto"/>
        <w:rPr>
          <w:sz w:val="20"/>
          <w:szCs w:val="20"/>
        </w:rPr>
      </w:pPr>
      <w:r w:rsidRPr="00C520C3">
        <w:rPr>
          <w:sz w:val="20"/>
          <w:szCs w:val="20"/>
        </w:rPr>
        <w:t>Stembeleid: er wordt duurzaam stemgedrag toegepast tijdens aandeelhoudersvergaderingen</w:t>
      </w:r>
    </w:p>
    <w:p w14:paraId="553CBFB3" w14:textId="77777777" w:rsidR="00EE37EA" w:rsidRPr="00C520C3" w:rsidRDefault="00EE37EA" w:rsidP="00EE37EA">
      <w:pPr>
        <w:rPr>
          <w:sz w:val="20"/>
          <w:szCs w:val="20"/>
        </w:rPr>
      </w:pPr>
      <w:r w:rsidRPr="00C520C3">
        <w:rPr>
          <w:sz w:val="20"/>
          <w:szCs w:val="20"/>
        </w:rPr>
        <w:t>Striktheid</w:t>
      </w:r>
    </w:p>
    <w:p w14:paraId="16930BAC" w14:textId="77777777" w:rsidR="00EE37EA" w:rsidRPr="00C520C3" w:rsidRDefault="00EE37EA" w:rsidP="00EE37EA">
      <w:pPr>
        <w:rPr>
          <w:sz w:val="20"/>
          <w:szCs w:val="20"/>
        </w:rPr>
      </w:pPr>
      <w:r w:rsidRPr="00C520C3">
        <w:rPr>
          <w:sz w:val="20"/>
          <w:szCs w:val="20"/>
        </w:rPr>
        <w:t>ASN is streng in haar ondergrenzen:</w:t>
      </w:r>
    </w:p>
    <w:p w14:paraId="22339091" w14:textId="77777777" w:rsidR="00EE37EA" w:rsidRPr="00C520C3" w:rsidRDefault="00EE37EA" w:rsidP="00E1671C">
      <w:pPr>
        <w:numPr>
          <w:ilvl w:val="0"/>
          <w:numId w:val="30"/>
        </w:numPr>
        <w:spacing w:line="259" w:lineRule="auto"/>
        <w:rPr>
          <w:sz w:val="20"/>
          <w:szCs w:val="20"/>
        </w:rPr>
      </w:pPr>
      <w:r w:rsidRPr="00C520C3">
        <w:rPr>
          <w:sz w:val="20"/>
          <w:szCs w:val="20"/>
        </w:rPr>
        <w:t>Minimaal 50% ecologische beleggingen en minimaal 10% sociale beleggingen in de portefeuille.</w:t>
      </w:r>
    </w:p>
    <w:p w14:paraId="2F3DBE4D" w14:textId="77777777" w:rsidR="00EE37EA" w:rsidRPr="00C520C3" w:rsidRDefault="00EE37EA" w:rsidP="00E1671C">
      <w:pPr>
        <w:numPr>
          <w:ilvl w:val="0"/>
          <w:numId w:val="30"/>
        </w:numPr>
        <w:spacing w:line="259" w:lineRule="auto"/>
        <w:rPr>
          <w:sz w:val="20"/>
          <w:szCs w:val="20"/>
        </w:rPr>
      </w:pPr>
      <w:r w:rsidRPr="00C520C3">
        <w:rPr>
          <w:sz w:val="20"/>
          <w:szCs w:val="20"/>
        </w:rPr>
        <w:t>Bedrijven die fossiel gas of kernenergie als duurzaam bestempelen worden niet geaccepteerd, ondanks dat de EU-taxonomie dit toestaat</w:t>
      </w:r>
    </w:p>
    <w:p w14:paraId="6EBA6F94" w14:textId="77777777" w:rsidR="00EE37EA" w:rsidRPr="00C520C3" w:rsidRDefault="00EE37EA" w:rsidP="00E1671C">
      <w:pPr>
        <w:numPr>
          <w:ilvl w:val="0"/>
          <w:numId w:val="30"/>
        </w:numPr>
        <w:spacing w:line="259" w:lineRule="auto"/>
        <w:rPr>
          <w:sz w:val="20"/>
          <w:szCs w:val="20"/>
        </w:rPr>
      </w:pPr>
      <w:r w:rsidRPr="00C520C3">
        <w:rPr>
          <w:sz w:val="20"/>
          <w:szCs w:val="20"/>
        </w:rPr>
        <w:t xml:space="preserve">Bedrijven worden minimaal eens per vier jaar volledig </w:t>
      </w:r>
      <w:proofErr w:type="spellStart"/>
      <w:r w:rsidRPr="00C520C3">
        <w:rPr>
          <w:sz w:val="20"/>
          <w:szCs w:val="20"/>
        </w:rPr>
        <w:t>herbeoordeeld</w:t>
      </w:r>
      <w:proofErr w:type="spellEnd"/>
      <w:r w:rsidRPr="00C520C3">
        <w:rPr>
          <w:sz w:val="20"/>
          <w:szCs w:val="20"/>
        </w:rPr>
        <w:t xml:space="preserve"> op duurzaamheid</w:t>
      </w:r>
    </w:p>
    <w:p w14:paraId="01577848" w14:textId="77777777" w:rsidR="00EE37EA" w:rsidRPr="00C520C3" w:rsidRDefault="00EE37EA" w:rsidP="00EE37EA">
      <w:pPr>
        <w:rPr>
          <w:sz w:val="20"/>
          <w:szCs w:val="20"/>
        </w:rPr>
      </w:pPr>
      <w:r w:rsidRPr="00C520C3">
        <w:rPr>
          <w:sz w:val="20"/>
          <w:szCs w:val="20"/>
        </w:rPr>
        <w:t>Deze striktheid sluit perfect aan op onze adviesstrategie, waarin ethiek, milieu-impact en maatschappelijke waarde centraal staan.</w:t>
      </w:r>
    </w:p>
    <w:p w14:paraId="13AE0AD8" w14:textId="77777777" w:rsidR="00EE37EA" w:rsidRPr="00C520C3" w:rsidRDefault="00EE37EA" w:rsidP="00EE37EA">
      <w:pPr>
        <w:rPr>
          <w:sz w:val="20"/>
          <w:szCs w:val="20"/>
        </w:rPr>
      </w:pPr>
      <w:r w:rsidRPr="00C520C3">
        <w:rPr>
          <w:sz w:val="20"/>
          <w:szCs w:val="20"/>
        </w:rPr>
        <w:t>Beoordeling:</w:t>
      </w:r>
      <w:r w:rsidRPr="00C520C3">
        <w:rPr>
          <w:sz w:val="20"/>
          <w:szCs w:val="20"/>
        </w:rPr>
        <w:br/>
        <w:t>Uitstekende aansluiting op onze duurzame adviesfilosofie.</w:t>
      </w:r>
      <w:r w:rsidRPr="00C520C3">
        <w:rPr>
          <w:sz w:val="20"/>
          <w:szCs w:val="20"/>
        </w:rPr>
        <w:br/>
      </w:r>
      <w:r w:rsidRPr="00C520C3">
        <w:rPr>
          <w:b/>
          <w:bCs/>
          <w:sz w:val="20"/>
          <w:szCs w:val="20"/>
        </w:rPr>
        <w:t>Score: 9,5/10</w:t>
      </w:r>
    </w:p>
    <w:p w14:paraId="16E2CC26" w14:textId="77777777" w:rsidR="00EE37EA" w:rsidRPr="00C520C3" w:rsidRDefault="00EE37EA" w:rsidP="00EE37EA">
      <w:pPr>
        <w:rPr>
          <w:sz w:val="20"/>
          <w:szCs w:val="20"/>
        </w:rPr>
      </w:pPr>
    </w:p>
    <w:p w14:paraId="15BE9E51" w14:textId="77777777" w:rsidR="00EE37EA" w:rsidRPr="00C520C3" w:rsidRDefault="00EE37EA" w:rsidP="00EE37EA">
      <w:pPr>
        <w:rPr>
          <w:sz w:val="20"/>
          <w:szCs w:val="20"/>
        </w:rPr>
      </w:pPr>
      <w:r w:rsidRPr="00C520C3">
        <w:rPr>
          <w:sz w:val="20"/>
          <w:szCs w:val="20"/>
        </w:rPr>
        <w:t>5. Klimaatrisico’s (10%)</w:t>
      </w:r>
    </w:p>
    <w:p w14:paraId="4CCC56B7" w14:textId="77777777" w:rsidR="00EE37EA" w:rsidRPr="00C520C3" w:rsidRDefault="00EE37EA" w:rsidP="00EE37EA">
      <w:pPr>
        <w:rPr>
          <w:sz w:val="20"/>
          <w:szCs w:val="20"/>
        </w:rPr>
      </w:pPr>
      <w:r w:rsidRPr="00C520C3">
        <w:rPr>
          <w:sz w:val="20"/>
          <w:szCs w:val="20"/>
        </w:rPr>
        <w:t>Het fonds geeft gedetailleerde en kwantitatieve informatie over klimaatrisico’s.</w:t>
      </w:r>
      <w:r w:rsidRPr="00C520C3">
        <w:rPr>
          <w:sz w:val="20"/>
          <w:szCs w:val="20"/>
        </w:rPr>
        <w:br/>
        <w:t xml:space="preserve">De </w:t>
      </w:r>
      <w:r w:rsidRPr="00C520C3">
        <w:rPr>
          <w:i/>
          <w:iCs/>
          <w:sz w:val="20"/>
          <w:szCs w:val="20"/>
        </w:rPr>
        <w:t>Duurzaamheidsinformatie (2025)</w:t>
      </w:r>
      <w:r w:rsidRPr="00C520C3">
        <w:rPr>
          <w:sz w:val="20"/>
          <w:szCs w:val="20"/>
        </w:rPr>
        <w:t xml:space="preserve"> beschrijft precies hoe ASN klimaatrisico’s identificeert en meet via:</w:t>
      </w:r>
    </w:p>
    <w:p w14:paraId="56277F09" w14:textId="77777777" w:rsidR="00EE37EA" w:rsidRPr="00C520C3" w:rsidRDefault="00EE37EA" w:rsidP="00E1671C">
      <w:pPr>
        <w:numPr>
          <w:ilvl w:val="0"/>
          <w:numId w:val="31"/>
        </w:numPr>
        <w:spacing w:line="259" w:lineRule="auto"/>
        <w:rPr>
          <w:sz w:val="20"/>
          <w:szCs w:val="20"/>
        </w:rPr>
      </w:pPr>
      <w:r w:rsidRPr="00C520C3">
        <w:rPr>
          <w:sz w:val="20"/>
          <w:szCs w:val="20"/>
        </w:rPr>
        <w:t>PCAF-methode (gefinancierde emissies),</w:t>
      </w:r>
    </w:p>
    <w:p w14:paraId="4441689E" w14:textId="77777777" w:rsidR="00EE37EA" w:rsidRPr="00EE37EA" w:rsidRDefault="00EE37EA" w:rsidP="00E1671C">
      <w:pPr>
        <w:numPr>
          <w:ilvl w:val="0"/>
          <w:numId w:val="31"/>
        </w:numPr>
        <w:spacing w:line="259" w:lineRule="auto"/>
        <w:rPr>
          <w:sz w:val="20"/>
          <w:szCs w:val="20"/>
          <w:lang w:val="en-US"/>
        </w:rPr>
      </w:pPr>
      <w:r w:rsidRPr="00EE37EA">
        <w:rPr>
          <w:sz w:val="20"/>
          <w:szCs w:val="20"/>
          <w:lang w:val="en-US"/>
        </w:rPr>
        <w:t>ITR-</w:t>
      </w:r>
      <w:proofErr w:type="spellStart"/>
      <w:r w:rsidRPr="00EE37EA">
        <w:rPr>
          <w:sz w:val="20"/>
          <w:szCs w:val="20"/>
          <w:lang w:val="en-US"/>
        </w:rPr>
        <w:t>methode</w:t>
      </w:r>
      <w:proofErr w:type="spellEnd"/>
      <w:r w:rsidRPr="00EE37EA">
        <w:rPr>
          <w:sz w:val="20"/>
          <w:szCs w:val="20"/>
          <w:lang w:val="en-US"/>
        </w:rPr>
        <w:t xml:space="preserve"> (Implied Temperature Rise, in °C),</w:t>
      </w:r>
    </w:p>
    <w:p w14:paraId="1C5741E7" w14:textId="77777777" w:rsidR="00EE37EA" w:rsidRPr="00C520C3" w:rsidRDefault="00EE37EA" w:rsidP="00E1671C">
      <w:pPr>
        <w:numPr>
          <w:ilvl w:val="0"/>
          <w:numId w:val="31"/>
        </w:numPr>
        <w:spacing w:line="259" w:lineRule="auto"/>
        <w:rPr>
          <w:sz w:val="20"/>
          <w:szCs w:val="20"/>
        </w:rPr>
      </w:pPr>
      <w:r w:rsidRPr="00C520C3">
        <w:rPr>
          <w:sz w:val="20"/>
          <w:szCs w:val="20"/>
        </w:rPr>
        <w:t>BFFI-methode (impact op biodiversiteit in hectare per euro)</w:t>
      </w:r>
    </w:p>
    <w:p w14:paraId="5A87FFDA" w14:textId="77777777" w:rsidR="00EE37EA" w:rsidRPr="00C520C3" w:rsidRDefault="00EE37EA" w:rsidP="00EE37EA">
      <w:pPr>
        <w:rPr>
          <w:sz w:val="20"/>
          <w:szCs w:val="20"/>
        </w:rPr>
      </w:pPr>
      <w:r w:rsidRPr="00C520C3">
        <w:rPr>
          <w:sz w:val="20"/>
          <w:szCs w:val="20"/>
        </w:rPr>
        <w:t xml:space="preserve">Daarnaast monitort de </w:t>
      </w:r>
      <w:r w:rsidRPr="00C520C3">
        <w:rPr>
          <w:i/>
          <w:iCs/>
          <w:sz w:val="20"/>
          <w:szCs w:val="20"/>
        </w:rPr>
        <w:t>Impactcommissie</w:t>
      </w:r>
      <w:r w:rsidRPr="00C520C3">
        <w:rPr>
          <w:sz w:val="20"/>
          <w:szCs w:val="20"/>
        </w:rPr>
        <w:t xml:space="preserve"> voortdurend of de portefeuille bijdraagt aan het beperken van de temperatuurstijging tot 1,5 °C. ASN communiceert ook openlijk over de beperkingen van de meetmethoden — iets wat de geloofwaardigheid versterkt.</w:t>
      </w:r>
    </w:p>
    <w:p w14:paraId="2E6F2C3B" w14:textId="77777777" w:rsidR="00EE37EA" w:rsidRPr="00C520C3" w:rsidRDefault="00EE37EA" w:rsidP="00EE37EA">
      <w:pPr>
        <w:rPr>
          <w:sz w:val="20"/>
          <w:szCs w:val="20"/>
        </w:rPr>
      </w:pPr>
      <w:r w:rsidRPr="00C520C3">
        <w:rPr>
          <w:sz w:val="20"/>
          <w:szCs w:val="20"/>
        </w:rPr>
        <w:t>Beoordeling:</w:t>
      </w:r>
      <w:r w:rsidRPr="00C520C3">
        <w:rPr>
          <w:sz w:val="20"/>
          <w:szCs w:val="20"/>
        </w:rPr>
        <w:br/>
        <w:t xml:space="preserve"> Zeer sterke rapportage over klimaatrisico’s; onderbouwd met wetenschappelijke methodes.</w:t>
      </w:r>
    </w:p>
    <w:p w14:paraId="7A00ABB2" w14:textId="77777777" w:rsidR="00EE37EA" w:rsidRPr="00C520C3" w:rsidRDefault="00EE37EA" w:rsidP="00EE37EA">
      <w:pPr>
        <w:rPr>
          <w:b/>
          <w:bCs/>
          <w:sz w:val="20"/>
          <w:szCs w:val="20"/>
        </w:rPr>
      </w:pPr>
      <w:r w:rsidRPr="00C520C3">
        <w:rPr>
          <w:b/>
          <w:bCs/>
          <w:sz w:val="20"/>
          <w:szCs w:val="20"/>
        </w:rPr>
        <w:t xml:space="preserve"> Score: 9/10</w:t>
      </w:r>
    </w:p>
    <w:p w14:paraId="06C7CAD2" w14:textId="77777777" w:rsidR="00EE37EA" w:rsidRPr="00C520C3" w:rsidRDefault="00EE37EA" w:rsidP="00EE37EA">
      <w:pPr>
        <w:rPr>
          <w:sz w:val="20"/>
          <w:szCs w:val="20"/>
        </w:rPr>
      </w:pPr>
    </w:p>
    <w:p w14:paraId="39BC9735" w14:textId="77777777" w:rsidR="00EE37EA" w:rsidRPr="00C520C3" w:rsidRDefault="00EE37EA" w:rsidP="00EE37EA">
      <w:pPr>
        <w:rPr>
          <w:sz w:val="20"/>
          <w:szCs w:val="20"/>
        </w:rPr>
      </w:pPr>
      <w:r w:rsidRPr="00C520C3">
        <w:rPr>
          <w:sz w:val="20"/>
          <w:szCs w:val="20"/>
        </w:rPr>
        <w:t>6. Klantcommunicatie (10%)</w:t>
      </w:r>
    </w:p>
    <w:p w14:paraId="13019995" w14:textId="77777777" w:rsidR="00EE37EA" w:rsidRPr="00C520C3" w:rsidRDefault="00EE37EA" w:rsidP="00EE37EA">
      <w:pPr>
        <w:rPr>
          <w:sz w:val="20"/>
          <w:szCs w:val="20"/>
        </w:rPr>
      </w:pPr>
      <w:r w:rsidRPr="00C520C3">
        <w:rPr>
          <w:sz w:val="20"/>
          <w:szCs w:val="20"/>
        </w:rPr>
        <w:t xml:space="preserve">ASN Impact </w:t>
      </w:r>
      <w:proofErr w:type="spellStart"/>
      <w:r w:rsidRPr="00C520C3">
        <w:rPr>
          <w:sz w:val="20"/>
          <w:szCs w:val="20"/>
        </w:rPr>
        <w:t>Investors</w:t>
      </w:r>
      <w:proofErr w:type="spellEnd"/>
      <w:r w:rsidRPr="00C520C3">
        <w:rPr>
          <w:sz w:val="20"/>
          <w:szCs w:val="20"/>
        </w:rPr>
        <w:t xml:space="preserve"> communiceert uitstekend en transparant richting haar klanten.</w:t>
      </w:r>
      <w:r w:rsidRPr="00C520C3">
        <w:rPr>
          <w:sz w:val="20"/>
          <w:szCs w:val="20"/>
        </w:rPr>
        <w:br/>
        <w:t xml:space="preserve">Volgens het </w:t>
      </w:r>
      <w:r w:rsidRPr="00C520C3">
        <w:rPr>
          <w:i/>
          <w:iCs/>
          <w:sz w:val="20"/>
          <w:szCs w:val="20"/>
        </w:rPr>
        <w:t>Essentiële-informatiedocument</w:t>
      </w:r>
      <w:r w:rsidRPr="00C520C3">
        <w:rPr>
          <w:sz w:val="20"/>
          <w:szCs w:val="20"/>
        </w:rPr>
        <w:t xml:space="preserve"> en de </w:t>
      </w:r>
      <w:proofErr w:type="spellStart"/>
      <w:r w:rsidRPr="00C520C3">
        <w:rPr>
          <w:i/>
          <w:iCs/>
          <w:sz w:val="20"/>
          <w:szCs w:val="20"/>
        </w:rPr>
        <w:t>Factsheet</w:t>
      </w:r>
      <w:proofErr w:type="spellEnd"/>
      <w:r w:rsidRPr="00C520C3">
        <w:rPr>
          <w:sz w:val="20"/>
          <w:szCs w:val="20"/>
        </w:rPr>
        <w:t xml:space="preserve"> zijn alle documenten kosteloos te downloaden via asnimpactinvestors.com.</w:t>
      </w:r>
      <w:r w:rsidRPr="00C520C3">
        <w:rPr>
          <w:sz w:val="20"/>
          <w:szCs w:val="20"/>
        </w:rPr>
        <w:br/>
        <w:t>Klanten vinden er:</w:t>
      </w:r>
    </w:p>
    <w:p w14:paraId="3F6DADFD" w14:textId="77777777" w:rsidR="00EE37EA" w:rsidRPr="00C520C3" w:rsidRDefault="00EE37EA" w:rsidP="00E1671C">
      <w:pPr>
        <w:numPr>
          <w:ilvl w:val="0"/>
          <w:numId w:val="32"/>
        </w:numPr>
        <w:spacing w:line="259" w:lineRule="auto"/>
        <w:rPr>
          <w:sz w:val="20"/>
          <w:szCs w:val="20"/>
        </w:rPr>
      </w:pPr>
      <w:r w:rsidRPr="00C520C3">
        <w:rPr>
          <w:sz w:val="20"/>
          <w:szCs w:val="20"/>
        </w:rPr>
        <w:t>Actuele rendementen, koersen, sectorverdeling en top-10 beleggingen</w:t>
      </w:r>
    </w:p>
    <w:p w14:paraId="6DB899F9" w14:textId="77777777" w:rsidR="00EE37EA" w:rsidRPr="00C520C3" w:rsidRDefault="00EE37EA" w:rsidP="00E1671C">
      <w:pPr>
        <w:numPr>
          <w:ilvl w:val="0"/>
          <w:numId w:val="32"/>
        </w:numPr>
        <w:spacing w:line="259" w:lineRule="auto"/>
        <w:rPr>
          <w:sz w:val="20"/>
          <w:szCs w:val="20"/>
        </w:rPr>
      </w:pPr>
      <w:r w:rsidRPr="00C520C3">
        <w:rPr>
          <w:sz w:val="20"/>
          <w:szCs w:val="20"/>
        </w:rPr>
        <w:t>Duurzame doelstellingen en periodieke duurzaamheidsrapportages</w:t>
      </w:r>
    </w:p>
    <w:p w14:paraId="5DF7E835" w14:textId="77777777" w:rsidR="00EE37EA" w:rsidRPr="00C520C3" w:rsidRDefault="00EE37EA" w:rsidP="00E1671C">
      <w:pPr>
        <w:numPr>
          <w:ilvl w:val="0"/>
          <w:numId w:val="32"/>
        </w:numPr>
        <w:spacing w:line="259" w:lineRule="auto"/>
        <w:rPr>
          <w:sz w:val="20"/>
          <w:szCs w:val="20"/>
        </w:rPr>
      </w:pPr>
      <w:r w:rsidRPr="00C520C3">
        <w:rPr>
          <w:sz w:val="20"/>
          <w:szCs w:val="20"/>
        </w:rPr>
        <w:t>Duidelijke uitleg over risico’s, kosten en klachtenprocedure</w:t>
      </w:r>
    </w:p>
    <w:p w14:paraId="0A9411BF" w14:textId="77777777" w:rsidR="00EE37EA" w:rsidRPr="00C520C3" w:rsidRDefault="00EE37EA" w:rsidP="00EE37EA">
      <w:pPr>
        <w:rPr>
          <w:sz w:val="20"/>
          <w:szCs w:val="20"/>
        </w:rPr>
      </w:pPr>
      <w:r w:rsidRPr="00C520C3">
        <w:rPr>
          <w:sz w:val="20"/>
          <w:szCs w:val="20"/>
        </w:rPr>
        <w:t>De toon is begrijpelijk en toegankelijk, zelfs voor beginnende beleggers, wat wordt benadrukt in het EID: het fonds is “ook geschikt voor beleggers met weinig beleggingskennis en ervaring”</w:t>
      </w:r>
    </w:p>
    <w:p w14:paraId="6D7993B7" w14:textId="77777777" w:rsidR="00EE37EA" w:rsidRPr="00C520C3" w:rsidRDefault="00EE37EA" w:rsidP="00EE37EA">
      <w:pPr>
        <w:rPr>
          <w:sz w:val="20"/>
          <w:szCs w:val="20"/>
        </w:rPr>
      </w:pPr>
      <w:r w:rsidRPr="00C520C3">
        <w:rPr>
          <w:sz w:val="20"/>
          <w:szCs w:val="20"/>
        </w:rPr>
        <w:t>Beoordeling:</w:t>
      </w:r>
      <w:r w:rsidRPr="00C520C3">
        <w:rPr>
          <w:sz w:val="20"/>
          <w:szCs w:val="20"/>
        </w:rPr>
        <w:br/>
        <w:t>Transparant, klantvriendelijk en goed vindbaar.</w:t>
      </w:r>
    </w:p>
    <w:p w14:paraId="6C24D0AF" w14:textId="77777777" w:rsidR="00EE37EA" w:rsidRPr="00EE37EA" w:rsidRDefault="00EE37EA" w:rsidP="00EE37EA">
      <w:pPr>
        <w:rPr>
          <w:b/>
          <w:bCs/>
          <w:sz w:val="20"/>
          <w:szCs w:val="20"/>
          <w:lang w:val="en-US"/>
        </w:rPr>
      </w:pPr>
      <w:r w:rsidRPr="00C520C3">
        <w:rPr>
          <w:b/>
          <w:bCs/>
          <w:sz w:val="20"/>
          <w:szCs w:val="20"/>
        </w:rPr>
        <w:t xml:space="preserve"> </w:t>
      </w:r>
      <w:r w:rsidRPr="00EE37EA">
        <w:rPr>
          <w:b/>
          <w:bCs/>
          <w:sz w:val="20"/>
          <w:szCs w:val="20"/>
          <w:lang w:val="en-US"/>
        </w:rPr>
        <w:t>Score: 9/10</w:t>
      </w:r>
    </w:p>
    <w:p w14:paraId="5B66B77E" w14:textId="77777777" w:rsidR="00EE37EA" w:rsidRPr="00EE37EA" w:rsidRDefault="00EE37EA" w:rsidP="00EE37EA">
      <w:pPr>
        <w:rPr>
          <w:sz w:val="30"/>
          <w:szCs w:val="30"/>
          <w:lang w:val="en-US"/>
        </w:rPr>
      </w:pPr>
    </w:p>
    <w:p w14:paraId="0E9A4899" w14:textId="77777777" w:rsidR="00EE37EA" w:rsidRPr="00EE37EA" w:rsidRDefault="00EE37EA" w:rsidP="00EE37EA">
      <w:pPr>
        <w:rPr>
          <w:b/>
          <w:bCs/>
          <w:sz w:val="30"/>
          <w:szCs w:val="30"/>
          <w:lang w:val="en-US"/>
        </w:rPr>
      </w:pPr>
    </w:p>
    <w:p w14:paraId="4FDFD7AB" w14:textId="77777777" w:rsidR="00EE37EA" w:rsidRPr="00EE37EA" w:rsidRDefault="00EE37EA" w:rsidP="00EE37EA">
      <w:pPr>
        <w:rPr>
          <w:b/>
          <w:bCs/>
          <w:sz w:val="30"/>
          <w:szCs w:val="30"/>
          <w:lang w:val="en-US"/>
        </w:rPr>
      </w:pPr>
    </w:p>
    <w:p w14:paraId="59619CE7" w14:textId="77777777" w:rsidR="00EE37EA" w:rsidRPr="00EE37EA" w:rsidRDefault="00EE37EA" w:rsidP="00EE37EA">
      <w:pPr>
        <w:rPr>
          <w:b/>
          <w:bCs/>
          <w:sz w:val="30"/>
          <w:szCs w:val="30"/>
          <w:lang w:val="en-US"/>
        </w:rPr>
      </w:pPr>
    </w:p>
    <w:p w14:paraId="10CD2555" w14:textId="77777777" w:rsidR="00EE37EA" w:rsidRPr="00EE37EA" w:rsidRDefault="00EE37EA" w:rsidP="00EE37EA">
      <w:pPr>
        <w:rPr>
          <w:b/>
          <w:bCs/>
          <w:sz w:val="30"/>
          <w:szCs w:val="30"/>
          <w:lang w:val="en-US"/>
        </w:rPr>
      </w:pPr>
    </w:p>
    <w:p w14:paraId="291DF86F" w14:textId="77777777" w:rsidR="00EE37EA" w:rsidRPr="00EE37EA" w:rsidRDefault="00EE37EA" w:rsidP="00EE37EA">
      <w:pPr>
        <w:rPr>
          <w:b/>
          <w:bCs/>
          <w:sz w:val="30"/>
          <w:szCs w:val="30"/>
          <w:lang w:val="en-US"/>
        </w:rPr>
      </w:pPr>
    </w:p>
    <w:p w14:paraId="7DD089E5" w14:textId="77777777" w:rsidR="00EE37EA" w:rsidRPr="00EE37EA" w:rsidRDefault="00EE37EA" w:rsidP="00EE37EA">
      <w:pPr>
        <w:rPr>
          <w:b/>
          <w:bCs/>
          <w:sz w:val="30"/>
          <w:szCs w:val="30"/>
          <w:lang w:val="en-US"/>
        </w:rPr>
      </w:pPr>
    </w:p>
    <w:p w14:paraId="444712A6" w14:textId="77777777" w:rsidR="00EE37EA" w:rsidRPr="00EE37EA" w:rsidRDefault="00EE37EA" w:rsidP="00EE37EA">
      <w:pPr>
        <w:rPr>
          <w:b/>
          <w:bCs/>
          <w:sz w:val="30"/>
          <w:szCs w:val="30"/>
          <w:lang w:val="en-US"/>
        </w:rPr>
      </w:pPr>
    </w:p>
    <w:p w14:paraId="75A338E7" w14:textId="77777777" w:rsidR="00EE37EA" w:rsidRPr="00EE37EA" w:rsidRDefault="00EE37EA" w:rsidP="00EE37EA">
      <w:pPr>
        <w:rPr>
          <w:b/>
          <w:bCs/>
          <w:sz w:val="30"/>
          <w:szCs w:val="30"/>
          <w:lang w:val="en-US"/>
        </w:rPr>
      </w:pPr>
    </w:p>
    <w:p w14:paraId="11CAE484" w14:textId="77777777" w:rsidR="00EE37EA" w:rsidRPr="00EE37EA" w:rsidRDefault="00EE37EA" w:rsidP="00EE37EA">
      <w:pPr>
        <w:rPr>
          <w:b/>
          <w:bCs/>
          <w:sz w:val="30"/>
          <w:szCs w:val="30"/>
          <w:lang w:val="en-US"/>
        </w:rPr>
      </w:pPr>
    </w:p>
    <w:p w14:paraId="2FAD5354" w14:textId="77777777" w:rsidR="00EE37EA" w:rsidRPr="00EE37EA" w:rsidRDefault="00EE37EA" w:rsidP="00EE37EA">
      <w:pPr>
        <w:rPr>
          <w:b/>
          <w:bCs/>
          <w:sz w:val="30"/>
          <w:szCs w:val="30"/>
          <w:lang w:val="en-US"/>
        </w:rPr>
      </w:pPr>
    </w:p>
    <w:p w14:paraId="276279E9" w14:textId="77777777" w:rsidR="00EE37EA" w:rsidRPr="00EE37EA" w:rsidRDefault="00EE37EA" w:rsidP="00EE37EA">
      <w:pPr>
        <w:rPr>
          <w:b/>
          <w:bCs/>
          <w:sz w:val="30"/>
          <w:szCs w:val="30"/>
          <w:lang w:val="en-US"/>
        </w:rPr>
      </w:pPr>
    </w:p>
    <w:p w14:paraId="07EBA28F" w14:textId="77777777" w:rsidR="00EE37EA" w:rsidRPr="00EE37EA" w:rsidRDefault="00EE37EA" w:rsidP="00EE37EA">
      <w:pPr>
        <w:rPr>
          <w:b/>
          <w:bCs/>
          <w:sz w:val="30"/>
          <w:szCs w:val="30"/>
          <w:lang w:val="en-US"/>
        </w:rPr>
      </w:pPr>
    </w:p>
    <w:p w14:paraId="75C8034A" w14:textId="77777777" w:rsidR="00EE37EA" w:rsidRPr="00EE37EA" w:rsidRDefault="00EE37EA" w:rsidP="00EE37EA">
      <w:pPr>
        <w:rPr>
          <w:b/>
          <w:bCs/>
          <w:sz w:val="30"/>
          <w:szCs w:val="30"/>
          <w:lang w:val="en-US"/>
        </w:rPr>
      </w:pPr>
    </w:p>
    <w:p w14:paraId="153328B1" w14:textId="77777777" w:rsidR="00EE37EA" w:rsidRPr="00EE37EA" w:rsidRDefault="00EE37EA" w:rsidP="00EE37EA">
      <w:pPr>
        <w:rPr>
          <w:b/>
          <w:bCs/>
          <w:sz w:val="30"/>
          <w:szCs w:val="30"/>
          <w:lang w:val="en-US"/>
        </w:rPr>
      </w:pPr>
    </w:p>
    <w:p w14:paraId="66ACDD0C" w14:textId="77777777" w:rsidR="00EE37EA" w:rsidRPr="00EE37EA" w:rsidRDefault="00EE37EA" w:rsidP="00EE37EA">
      <w:pPr>
        <w:rPr>
          <w:b/>
          <w:bCs/>
          <w:sz w:val="30"/>
          <w:szCs w:val="30"/>
          <w:lang w:val="en-US"/>
        </w:rPr>
      </w:pPr>
    </w:p>
    <w:p w14:paraId="10A911E5" w14:textId="77777777" w:rsidR="00EE37EA" w:rsidRPr="00EE37EA" w:rsidRDefault="00EE37EA" w:rsidP="00EE37EA">
      <w:pPr>
        <w:rPr>
          <w:b/>
          <w:bCs/>
          <w:sz w:val="30"/>
          <w:szCs w:val="30"/>
          <w:lang w:val="en-US"/>
        </w:rPr>
      </w:pPr>
    </w:p>
    <w:p w14:paraId="41202D52" w14:textId="77777777" w:rsidR="00EE37EA" w:rsidRPr="00EE37EA" w:rsidRDefault="00EE37EA" w:rsidP="00EE37EA">
      <w:pPr>
        <w:pStyle w:val="Heading2"/>
        <w:rPr>
          <w:lang w:val="en-US"/>
        </w:rPr>
      </w:pPr>
    </w:p>
    <w:p w14:paraId="0A77864C" w14:textId="77777777" w:rsidR="00EE37EA" w:rsidRPr="00EE37EA" w:rsidRDefault="00EE37EA" w:rsidP="00EE37EA">
      <w:pPr>
        <w:pStyle w:val="Heading2"/>
        <w:rPr>
          <w:lang w:val="en-US"/>
        </w:rPr>
      </w:pPr>
    </w:p>
    <w:p w14:paraId="2667CD7B" w14:textId="77777777" w:rsidR="00EE37EA" w:rsidRPr="00EE37EA" w:rsidRDefault="00EE37EA" w:rsidP="00EE37EA">
      <w:pPr>
        <w:pStyle w:val="Heading2"/>
        <w:rPr>
          <w:lang w:val="en-US"/>
        </w:rPr>
      </w:pPr>
    </w:p>
    <w:p w14:paraId="7742A02D" w14:textId="77777777" w:rsidR="00EE37EA" w:rsidRPr="00EE37EA" w:rsidRDefault="00EE37EA" w:rsidP="00EE37EA">
      <w:pPr>
        <w:pStyle w:val="Heading2"/>
        <w:rPr>
          <w:lang w:val="en-US"/>
        </w:rPr>
      </w:pPr>
    </w:p>
    <w:p w14:paraId="5207DCE7" w14:textId="77777777" w:rsidR="00EE37EA" w:rsidRPr="00EE37EA" w:rsidRDefault="00EE37EA" w:rsidP="00EE37EA">
      <w:pPr>
        <w:pStyle w:val="Heading2"/>
        <w:rPr>
          <w:lang w:val="en-US"/>
        </w:rPr>
      </w:pPr>
    </w:p>
    <w:p w14:paraId="12B25BD1" w14:textId="77777777" w:rsidR="00EE37EA" w:rsidRPr="00EE37EA" w:rsidRDefault="4ECF2E88" w:rsidP="00EE37EA">
      <w:pPr>
        <w:pStyle w:val="Heading2"/>
        <w:rPr>
          <w:lang w:val="en-US"/>
        </w:rPr>
      </w:pPr>
      <w:bookmarkStart w:id="19" w:name="_Toc215578230"/>
      <w:bookmarkStart w:id="20" w:name="_Toc1769692876"/>
      <w:r w:rsidRPr="6D5ED2DD">
        <w:rPr>
          <w:lang w:val="en-US"/>
        </w:rPr>
        <w:t>Robeco:</w:t>
      </w:r>
      <w:bookmarkEnd w:id="19"/>
      <w:bookmarkEnd w:id="20"/>
      <w:r w:rsidRPr="6D5ED2DD">
        <w:rPr>
          <w:lang w:val="en-US"/>
        </w:rPr>
        <w:t xml:space="preserve"> </w:t>
      </w:r>
    </w:p>
    <w:p w14:paraId="5F7928DB" w14:textId="77777777" w:rsidR="00EE37EA" w:rsidRPr="00EE37EA" w:rsidRDefault="00EE37EA" w:rsidP="00EE37EA">
      <w:pPr>
        <w:rPr>
          <w:rStyle w:val="Hyperlink"/>
          <w:lang w:val="en-US"/>
        </w:rPr>
      </w:pPr>
      <w:r w:rsidRPr="00C520C3">
        <w:fldChar w:fldCharType="begin"/>
      </w:r>
      <w:r w:rsidRPr="00EE37EA">
        <w:rPr>
          <w:lang w:val="en-US"/>
        </w:rPr>
        <w:instrText>HYPERLINK "https://www.robeco.com/nl-nl/producten/fondsen/isin-lu2818102274/robeco-emerging-markets-climate-transition-equities-f-eur" \o "Robeco emerging markets fonds"</w:instrText>
      </w:r>
      <w:r w:rsidRPr="00C520C3">
        <w:fldChar w:fldCharType="separate"/>
      </w:r>
      <w:r w:rsidRPr="00EE37EA">
        <w:rPr>
          <w:rStyle w:val="Hyperlink"/>
          <w:lang w:val="en-US"/>
        </w:rPr>
        <w:t xml:space="preserve">https://www.robeco.com/nl-nl/producten/fondsen/isin-lu2818102274/robeco-emerging-markets-climate-transition-equities-f-eur </w:t>
      </w:r>
    </w:p>
    <w:p w14:paraId="462141C9" w14:textId="77777777" w:rsidR="00EE37EA" w:rsidRPr="00C520C3" w:rsidRDefault="00EE37EA" w:rsidP="00EE37EA">
      <w:pPr>
        <w:rPr>
          <w:b/>
          <w:bCs/>
        </w:rPr>
      </w:pPr>
      <w:r w:rsidRPr="00C520C3">
        <w:fldChar w:fldCharType="end"/>
      </w:r>
      <w:hyperlink r:id="rId23" w:history="1">
        <w:r w:rsidRPr="00C520C3">
          <w:rPr>
            <w:rStyle w:val="Hyperlink"/>
            <w:b/>
            <w:bCs/>
          </w:rPr>
          <w:t xml:space="preserve">Portfolio update </w:t>
        </w:r>
      </w:hyperlink>
    </w:p>
    <w:p w14:paraId="04E588E6" w14:textId="77777777" w:rsidR="00EE37EA" w:rsidRPr="00C520C3" w:rsidRDefault="00EE37EA" w:rsidP="00EE37EA">
      <w:hyperlink r:id="rId24" w:history="1">
        <w:r w:rsidRPr="00C520C3">
          <w:rPr>
            <w:rStyle w:val="Hyperlink"/>
          </w:rPr>
          <w:t>EID</w:t>
        </w:r>
      </w:hyperlink>
    </w:p>
    <w:p w14:paraId="74C1A0F7" w14:textId="77777777" w:rsidR="00EE37EA" w:rsidRPr="00C520C3" w:rsidRDefault="00EE37EA" w:rsidP="00EE37EA">
      <w:hyperlink r:id="rId25" w:history="1">
        <w:proofErr w:type="spellStart"/>
        <w:r w:rsidRPr="00C520C3">
          <w:rPr>
            <w:rStyle w:val="Hyperlink"/>
          </w:rPr>
          <w:t>Factsheet</w:t>
        </w:r>
        <w:proofErr w:type="spellEnd"/>
      </w:hyperlink>
      <w:r w:rsidRPr="00C520C3">
        <w:t xml:space="preserve"> </w:t>
      </w:r>
    </w:p>
    <w:p w14:paraId="43491386" w14:textId="77777777" w:rsidR="00EE37EA" w:rsidRPr="00C520C3" w:rsidRDefault="00EE37EA" w:rsidP="00EE37EA"/>
    <w:p w14:paraId="657ED5D1" w14:textId="77777777" w:rsidR="00EE37EA" w:rsidRPr="00C520C3" w:rsidRDefault="00EE37EA" w:rsidP="00EE37EA">
      <w:r w:rsidRPr="00C520C3">
        <w:t>Als financieel adviesbureau streven wij ernaar beleggingsoplossingen te selecteren die niet alleen bijdragen aan een solide financieel rendement, maar ook aan een duurzame, toekomstbestendige wereld. Onze klanten vragen steeds vaker om beleggingen die een positieve impact hebben op milieu en maatschappij, zonder concessies te doen aan kwaliteit of professionaliteit.</w:t>
      </w:r>
    </w:p>
    <w:p w14:paraId="4DDDA078" w14:textId="77777777" w:rsidR="00EE37EA" w:rsidRPr="00C520C3" w:rsidRDefault="00EE37EA" w:rsidP="00EE37EA">
      <w:r w:rsidRPr="00C520C3">
        <w:t xml:space="preserve">Op basis van de aangeleverde fondsdocumenten het Essentiële-informatiedocument, de </w:t>
      </w:r>
      <w:proofErr w:type="spellStart"/>
      <w:r w:rsidRPr="00C520C3">
        <w:t>Factsheet</w:t>
      </w:r>
      <w:proofErr w:type="spellEnd"/>
      <w:r w:rsidRPr="00C520C3">
        <w:t xml:space="preserve"> en de Portfolio Update zien wij dat het Robeco </w:t>
      </w:r>
      <w:proofErr w:type="spellStart"/>
      <w:r w:rsidRPr="00C520C3">
        <w:t>Emerging</w:t>
      </w:r>
      <w:proofErr w:type="spellEnd"/>
      <w:r w:rsidRPr="00C520C3">
        <w:t xml:space="preserve"> Markets </w:t>
      </w:r>
      <w:proofErr w:type="spellStart"/>
      <w:r w:rsidRPr="00C520C3">
        <w:t>Climate</w:t>
      </w:r>
      <w:proofErr w:type="spellEnd"/>
      <w:r w:rsidRPr="00C520C3">
        <w:t xml:space="preserve"> </w:t>
      </w:r>
      <w:proofErr w:type="spellStart"/>
      <w:r w:rsidRPr="00C520C3">
        <w:t>Transition</w:t>
      </w:r>
      <w:proofErr w:type="spellEnd"/>
      <w:r w:rsidRPr="00C520C3">
        <w:t xml:space="preserve"> </w:t>
      </w:r>
      <w:proofErr w:type="spellStart"/>
      <w:r w:rsidRPr="00C520C3">
        <w:t>Equities</w:t>
      </w:r>
      <w:proofErr w:type="spellEnd"/>
      <w:r w:rsidRPr="00C520C3">
        <w:t xml:space="preserve"> F EUR fonds in uitzonderlijke mate aansluit bij deze ambitie. Het fonds biedt een combinatie van klimaatimpact, transparantie, gedegen risicobeheer en professioneel actief beheer, die zelden tegelijkertijd worden gevonden binnen </w:t>
      </w:r>
      <w:proofErr w:type="spellStart"/>
      <w:r w:rsidRPr="00C520C3">
        <w:t>emerging</w:t>
      </w:r>
      <w:proofErr w:type="spellEnd"/>
      <w:r w:rsidRPr="00C520C3">
        <w:t>-markets-aandelenfondsen.</w:t>
      </w:r>
    </w:p>
    <w:p w14:paraId="4A620ADD" w14:textId="77777777" w:rsidR="00EE37EA" w:rsidRPr="00C520C3" w:rsidRDefault="00EE37EA" w:rsidP="00EE37EA">
      <w:r w:rsidRPr="00C520C3">
        <w:t>Hieronder volgt een uitgebreide onderbouwing van onze keuze.</w:t>
      </w:r>
    </w:p>
    <w:p w14:paraId="2E479003" w14:textId="77777777" w:rsidR="00EE37EA" w:rsidRPr="00C520C3" w:rsidRDefault="00EE37EA" w:rsidP="00EE37EA"/>
    <w:p w14:paraId="0A6C80C2" w14:textId="77777777" w:rsidR="00EE37EA" w:rsidRPr="00C520C3" w:rsidRDefault="00EE37EA" w:rsidP="00EE37EA">
      <w:pPr>
        <w:rPr>
          <w:b/>
          <w:bCs/>
        </w:rPr>
      </w:pPr>
      <w:r w:rsidRPr="00C520C3">
        <w:rPr>
          <w:b/>
          <w:bCs/>
        </w:rPr>
        <w:t>1. Het fonds draagt direct bij aan de wereldwijde klimaattransitie</w:t>
      </w:r>
    </w:p>
    <w:p w14:paraId="7F9458C1" w14:textId="77777777" w:rsidR="00EE37EA" w:rsidRPr="00C520C3" w:rsidRDefault="00EE37EA" w:rsidP="00EE37EA">
      <w:r w:rsidRPr="00C520C3">
        <w:t xml:space="preserve">Uit de </w:t>
      </w:r>
      <w:proofErr w:type="spellStart"/>
      <w:r w:rsidRPr="00C520C3">
        <w:t>factsheet</w:t>
      </w:r>
      <w:proofErr w:type="spellEnd"/>
      <w:r w:rsidRPr="00C520C3">
        <w:t xml:space="preserve"> en portfolio update blijkt dat het fonds volledig is opgebouwd rondom één centrale doelstelling: investeren in bedrijven die de overgang naar een </w:t>
      </w:r>
      <w:proofErr w:type="spellStart"/>
      <w:r w:rsidRPr="00C520C3">
        <w:t>klimaatneutrale</w:t>
      </w:r>
      <w:proofErr w:type="spellEnd"/>
      <w:r w:rsidRPr="00C520C3">
        <w:t xml:space="preserve"> economie versnellen.</w:t>
      </w:r>
    </w:p>
    <w:p w14:paraId="791DF2D9" w14:textId="77777777" w:rsidR="00EE37EA" w:rsidRPr="00C520C3" w:rsidRDefault="00EE37EA" w:rsidP="00EE37EA">
      <w:r w:rsidRPr="00C520C3">
        <w:t>Het fonds richt zich uitsluitend op ondernemingen in opkomende markten die:</w:t>
      </w:r>
    </w:p>
    <w:p w14:paraId="0CFA7016" w14:textId="77777777" w:rsidR="00EE37EA" w:rsidRPr="00C520C3" w:rsidRDefault="00EE37EA" w:rsidP="00E1671C">
      <w:pPr>
        <w:numPr>
          <w:ilvl w:val="0"/>
          <w:numId w:val="33"/>
        </w:numPr>
        <w:spacing w:line="259" w:lineRule="auto"/>
      </w:pPr>
      <w:r w:rsidRPr="00C520C3">
        <w:t>Oplossingen bieden voor elektrificatie (bijvoorbeeld producenten van elektrische apparatuur en slimme netwerken);</w:t>
      </w:r>
    </w:p>
    <w:p w14:paraId="7EAABC34" w14:textId="77777777" w:rsidR="00EE37EA" w:rsidRPr="00C520C3" w:rsidRDefault="00EE37EA" w:rsidP="00E1671C">
      <w:pPr>
        <w:numPr>
          <w:ilvl w:val="0"/>
          <w:numId w:val="33"/>
        </w:numPr>
        <w:spacing w:line="259" w:lineRule="auto"/>
      </w:pPr>
      <w:r w:rsidRPr="00C520C3">
        <w:t>Bijdragen aan hernieuwbare energie-infrastructuur;</w:t>
      </w:r>
    </w:p>
    <w:p w14:paraId="77030A47" w14:textId="77777777" w:rsidR="00EE37EA" w:rsidRPr="00C520C3" w:rsidRDefault="00EE37EA" w:rsidP="00E1671C">
      <w:pPr>
        <w:numPr>
          <w:ilvl w:val="0"/>
          <w:numId w:val="33"/>
        </w:numPr>
        <w:spacing w:line="259" w:lineRule="auto"/>
      </w:pPr>
      <w:r w:rsidRPr="00C520C3">
        <w:t>Technologieën ontwikkelen voor energie-efficiëntie, opslag en schone mobiliteit;</w:t>
      </w:r>
    </w:p>
    <w:p w14:paraId="4AAE3B81" w14:textId="77777777" w:rsidR="00EE37EA" w:rsidRPr="00C520C3" w:rsidRDefault="00EE37EA" w:rsidP="00E1671C">
      <w:pPr>
        <w:numPr>
          <w:ilvl w:val="0"/>
          <w:numId w:val="33"/>
        </w:numPr>
        <w:spacing w:line="259" w:lineRule="auto"/>
      </w:pPr>
      <w:r w:rsidRPr="00C520C3">
        <w:t>Een bewezen, meetbare impact hebben op de CO₂-reductie;</w:t>
      </w:r>
    </w:p>
    <w:p w14:paraId="192DAB7E" w14:textId="77777777" w:rsidR="00EE37EA" w:rsidRPr="00C520C3" w:rsidRDefault="00EE37EA" w:rsidP="00E1671C">
      <w:pPr>
        <w:numPr>
          <w:ilvl w:val="0"/>
          <w:numId w:val="33"/>
        </w:numPr>
        <w:spacing w:line="259" w:lineRule="auto"/>
      </w:pPr>
      <w:r w:rsidRPr="00C520C3">
        <w:t>Of essentieel zijn voor sectoren die verduurzaming mogelijk maken (zoals halfgeleiders en industriële technologie).</w:t>
      </w:r>
    </w:p>
    <w:p w14:paraId="0818BC45" w14:textId="77777777" w:rsidR="00EE37EA" w:rsidRPr="00C520C3" w:rsidRDefault="00EE37EA" w:rsidP="00EE37EA">
      <w:r w:rsidRPr="00C520C3">
        <w:t>Robeco beschrijft dat het fonds minstens 20% minder CO₂-uitstoot, waterverbruik en afval in de portefeuille nastreeft dan de benchmark, wat duidelijke en concrete klimaatdoelstellingen zijn.</w:t>
      </w:r>
    </w:p>
    <w:p w14:paraId="37FB5F16" w14:textId="77777777" w:rsidR="00EE37EA" w:rsidRPr="00C520C3" w:rsidRDefault="00EE37EA" w:rsidP="00EE37EA">
      <w:r w:rsidRPr="00C520C3">
        <w:t>Dit alles maakt het fonds bijzonder geschikt voor klanten die duurzaamheid willen combineren met groeikansen in opkomende markten.</w:t>
      </w:r>
    </w:p>
    <w:p w14:paraId="417B956D" w14:textId="77777777" w:rsidR="00EE37EA" w:rsidRPr="00C520C3" w:rsidRDefault="00EE37EA" w:rsidP="00EE37EA"/>
    <w:p w14:paraId="3D20468C" w14:textId="77777777" w:rsidR="00EE37EA" w:rsidRPr="00C520C3" w:rsidRDefault="00EE37EA" w:rsidP="00EE37EA">
      <w:pPr>
        <w:rPr>
          <w:b/>
          <w:bCs/>
        </w:rPr>
      </w:pPr>
      <w:r w:rsidRPr="00C520C3">
        <w:rPr>
          <w:b/>
          <w:bCs/>
        </w:rPr>
        <w:t>2. Strikt en transparant duurzaamheidsbeleid op fondsniveau</w:t>
      </w:r>
    </w:p>
    <w:p w14:paraId="1A3F3B6F" w14:textId="77777777" w:rsidR="00EE37EA" w:rsidRPr="00C520C3" w:rsidRDefault="00EE37EA" w:rsidP="00EE37EA">
      <w:r w:rsidRPr="00C520C3">
        <w:t>Het fonds is niet alleen duurzaam is op aanbiederniveau, maar dat duurzaamheid diep is verankerd in de beleggingsstrategie van het fonds zelf.</w:t>
      </w:r>
    </w:p>
    <w:p w14:paraId="06D7CB3F" w14:textId="77777777" w:rsidR="00EE37EA" w:rsidRPr="00C520C3" w:rsidRDefault="00EE37EA" w:rsidP="00EE37EA">
      <w:r w:rsidRPr="00C520C3">
        <w:t>Het fonds belegt niet in ondernemingen die:</w:t>
      </w:r>
    </w:p>
    <w:p w14:paraId="1F9CF306" w14:textId="77777777" w:rsidR="00EE37EA" w:rsidRPr="00C520C3" w:rsidRDefault="00EE37EA" w:rsidP="00E1671C">
      <w:pPr>
        <w:numPr>
          <w:ilvl w:val="0"/>
          <w:numId w:val="34"/>
        </w:numPr>
        <w:spacing w:line="259" w:lineRule="auto"/>
      </w:pPr>
      <w:r w:rsidRPr="00C520C3">
        <w:t>Betrokken zijn bij ernstige milieuvervuiling;</w:t>
      </w:r>
    </w:p>
    <w:p w14:paraId="6323FD6D" w14:textId="77777777" w:rsidR="00EE37EA" w:rsidRPr="00C520C3" w:rsidRDefault="00EE37EA" w:rsidP="00E1671C">
      <w:pPr>
        <w:numPr>
          <w:ilvl w:val="0"/>
          <w:numId w:val="34"/>
        </w:numPr>
        <w:spacing w:line="259" w:lineRule="auto"/>
      </w:pPr>
      <w:r w:rsidRPr="00C520C3">
        <w:t xml:space="preserve">Mensenrechten, arbeidsrechten of </w:t>
      </w:r>
      <w:proofErr w:type="spellStart"/>
      <w:r w:rsidRPr="00C520C3">
        <w:t>governance</w:t>
      </w:r>
      <w:proofErr w:type="spellEnd"/>
      <w:r w:rsidRPr="00C520C3">
        <w:t>-principes schenden;</w:t>
      </w:r>
    </w:p>
    <w:p w14:paraId="76BE2D0A" w14:textId="77777777" w:rsidR="00EE37EA" w:rsidRPr="00C520C3" w:rsidRDefault="00EE37EA" w:rsidP="00E1671C">
      <w:pPr>
        <w:numPr>
          <w:ilvl w:val="0"/>
          <w:numId w:val="34"/>
        </w:numPr>
        <w:spacing w:line="259" w:lineRule="auto"/>
      </w:pPr>
      <w:r w:rsidRPr="00C520C3">
        <w:t>Actief zijn in controversiële sectoren;</w:t>
      </w:r>
    </w:p>
    <w:p w14:paraId="78D2CECB" w14:textId="77777777" w:rsidR="00EE37EA" w:rsidRPr="00C520C3" w:rsidRDefault="00EE37EA" w:rsidP="00E1671C">
      <w:pPr>
        <w:numPr>
          <w:ilvl w:val="0"/>
          <w:numId w:val="34"/>
        </w:numPr>
        <w:spacing w:line="259" w:lineRule="auto"/>
      </w:pPr>
      <w:r w:rsidRPr="00C520C3">
        <w:t>Structureel hoge ESG-risico’s kennen zonder verbeterplan.</w:t>
      </w:r>
    </w:p>
    <w:p w14:paraId="4A542CD1" w14:textId="77777777" w:rsidR="00EE37EA" w:rsidRPr="00C520C3" w:rsidRDefault="00EE37EA" w:rsidP="00EE37EA">
      <w:r w:rsidRPr="00C520C3">
        <w:t>Robeco combineert fundamentele analyse met gedetailleerde beoordeling op:</w:t>
      </w:r>
    </w:p>
    <w:p w14:paraId="1A483D7F" w14:textId="77777777" w:rsidR="00EE37EA" w:rsidRPr="00C520C3" w:rsidRDefault="00EE37EA" w:rsidP="00E1671C">
      <w:pPr>
        <w:numPr>
          <w:ilvl w:val="0"/>
          <w:numId w:val="35"/>
        </w:numPr>
        <w:spacing w:line="259" w:lineRule="auto"/>
      </w:pPr>
      <w:r w:rsidRPr="00C520C3">
        <w:t>Klimaatgevoeligheid;</w:t>
      </w:r>
    </w:p>
    <w:p w14:paraId="606BF65E" w14:textId="77777777" w:rsidR="00EE37EA" w:rsidRPr="00C520C3" w:rsidRDefault="00EE37EA" w:rsidP="00E1671C">
      <w:pPr>
        <w:numPr>
          <w:ilvl w:val="0"/>
          <w:numId w:val="35"/>
        </w:numPr>
        <w:spacing w:line="259" w:lineRule="auto"/>
      </w:pPr>
      <w:proofErr w:type="spellStart"/>
      <w:r w:rsidRPr="00C520C3">
        <w:t>Governance</w:t>
      </w:r>
      <w:proofErr w:type="spellEnd"/>
      <w:r w:rsidRPr="00C520C3">
        <w:t>-structuren;</w:t>
      </w:r>
    </w:p>
    <w:p w14:paraId="28D76E0F" w14:textId="77777777" w:rsidR="00EE37EA" w:rsidRPr="00C520C3" w:rsidRDefault="00EE37EA" w:rsidP="00E1671C">
      <w:pPr>
        <w:numPr>
          <w:ilvl w:val="0"/>
          <w:numId w:val="35"/>
        </w:numPr>
        <w:spacing w:line="259" w:lineRule="auto"/>
      </w:pPr>
      <w:r w:rsidRPr="00C520C3">
        <w:t>Sociale risico’s en ketentransparantie;</w:t>
      </w:r>
    </w:p>
    <w:p w14:paraId="6BA5FD3A" w14:textId="77777777" w:rsidR="00EE37EA" w:rsidRPr="00C520C3" w:rsidRDefault="00EE37EA" w:rsidP="00E1671C">
      <w:pPr>
        <w:numPr>
          <w:ilvl w:val="0"/>
          <w:numId w:val="35"/>
        </w:numPr>
        <w:spacing w:line="259" w:lineRule="auto"/>
      </w:pPr>
      <w:r w:rsidRPr="00C520C3">
        <w:t>Milieubeleid op bedrijfsniveau;</w:t>
      </w:r>
    </w:p>
    <w:p w14:paraId="59F09AB9" w14:textId="77777777" w:rsidR="00EE37EA" w:rsidRPr="00C520C3" w:rsidRDefault="00EE37EA" w:rsidP="00E1671C">
      <w:pPr>
        <w:numPr>
          <w:ilvl w:val="0"/>
          <w:numId w:val="35"/>
        </w:numPr>
        <w:spacing w:line="259" w:lineRule="auto"/>
      </w:pPr>
      <w:r w:rsidRPr="00C520C3">
        <w:t>Exposure aan klimaatoplossingen vs. klimaatgevaren.</w:t>
      </w:r>
    </w:p>
    <w:p w14:paraId="7E6C8066" w14:textId="77777777" w:rsidR="00EE37EA" w:rsidRPr="00C520C3" w:rsidRDefault="00EE37EA" w:rsidP="00EE37EA">
      <w:r w:rsidRPr="00C520C3">
        <w:t>Dit leidt tot een portefeuille van bedrijven die zowel financieel gezond als duurzaam verantwoord zijn.</w:t>
      </w:r>
    </w:p>
    <w:p w14:paraId="2386B70D" w14:textId="77777777" w:rsidR="00EE37EA" w:rsidRPr="00C520C3" w:rsidRDefault="00EE37EA" w:rsidP="00EE37EA">
      <w:pPr>
        <w:rPr>
          <w:b/>
          <w:bCs/>
        </w:rPr>
      </w:pPr>
      <w:r w:rsidRPr="00C520C3">
        <w:rPr>
          <w:b/>
          <w:bCs/>
        </w:rPr>
        <w:t>3. Actief aandeelhouderschap: engagement en stembeleid zijn kernelementen</w:t>
      </w:r>
    </w:p>
    <w:p w14:paraId="02293A14" w14:textId="77777777" w:rsidR="00EE37EA" w:rsidRPr="00C520C3" w:rsidRDefault="00EE37EA" w:rsidP="00EE37EA">
      <w:r w:rsidRPr="00C520C3">
        <w:t xml:space="preserve">In zowel de </w:t>
      </w:r>
      <w:proofErr w:type="spellStart"/>
      <w:r w:rsidRPr="00C520C3">
        <w:t>factsheet</w:t>
      </w:r>
      <w:proofErr w:type="spellEnd"/>
      <w:r w:rsidRPr="00C520C3">
        <w:t xml:space="preserve"> als de portfolio update wordt duidelijk beschreven dat het fonds gebruikmaakt van actieve engagementprogramma’s.</w:t>
      </w:r>
    </w:p>
    <w:p w14:paraId="02A5C844" w14:textId="77777777" w:rsidR="00EE37EA" w:rsidRPr="00C520C3" w:rsidRDefault="00EE37EA" w:rsidP="00EE37EA">
      <w:r w:rsidRPr="00C520C3">
        <w:t>Robeco past onder meer toe:</w:t>
      </w:r>
    </w:p>
    <w:p w14:paraId="2D00989F" w14:textId="77777777" w:rsidR="00EE37EA" w:rsidRPr="00C520C3" w:rsidRDefault="00EE37EA" w:rsidP="00E1671C">
      <w:pPr>
        <w:numPr>
          <w:ilvl w:val="0"/>
          <w:numId w:val="36"/>
        </w:numPr>
        <w:spacing w:line="259" w:lineRule="auto"/>
      </w:pPr>
      <w:r w:rsidRPr="00C520C3">
        <w:t>Value engagement: gesprekken met bedrijven om duurzaamheidsrisico’s te verminderen;</w:t>
      </w:r>
    </w:p>
    <w:p w14:paraId="0AEBD3EB" w14:textId="77777777" w:rsidR="00EE37EA" w:rsidRPr="00C520C3" w:rsidRDefault="00EE37EA" w:rsidP="00E1671C">
      <w:pPr>
        <w:numPr>
          <w:ilvl w:val="0"/>
          <w:numId w:val="36"/>
        </w:numPr>
        <w:spacing w:line="259" w:lineRule="auto"/>
      </w:pPr>
      <w:r w:rsidRPr="00C520C3">
        <w:t xml:space="preserve">SDG-engagement: bedrijven worden actief aangesproken op hun bijdrage aan de </w:t>
      </w:r>
      <w:proofErr w:type="spellStart"/>
      <w:r w:rsidRPr="00C520C3">
        <w:t>Sustainable</w:t>
      </w:r>
      <w:proofErr w:type="spellEnd"/>
      <w:r w:rsidRPr="00C520C3">
        <w:t xml:space="preserve"> Development Goals;</w:t>
      </w:r>
    </w:p>
    <w:p w14:paraId="142D8723" w14:textId="77777777" w:rsidR="00EE37EA" w:rsidRPr="00C520C3" w:rsidRDefault="00EE37EA" w:rsidP="00E1671C">
      <w:pPr>
        <w:numPr>
          <w:ilvl w:val="0"/>
          <w:numId w:val="36"/>
        </w:numPr>
        <w:spacing w:line="259" w:lineRule="auto"/>
      </w:pPr>
      <w:proofErr w:type="spellStart"/>
      <w:r w:rsidRPr="00C520C3">
        <w:t>Enhanced</w:t>
      </w:r>
      <w:proofErr w:type="spellEnd"/>
      <w:r w:rsidRPr="00C520C3">
        <w:t xml:space="preserve"> engagement: intensieve trajecten met bedrijven die achterblijven op klimaatbeleid;</w:t>
      </w:r>
    </w:p>
    <w:p w14:paraId="31A5F600" w14:textId="77777777" w:rsidR="00EE37EA" w:rsidRPr="00C520C3" w:rsidRDefault="00EE37EA" w:rsidP="00E1671C">
      <w:pPr>
        <w:numPr>
          <w:ilvl w:val="0"/>
          <w:numId w:val="36"/>
        </w:numPr>
        <w:spacing w:line="259" w:lineRule="auto"/>
      </w:pPr>
      <w:r w:rsidRPr="00C520C3">
        <w:t xml:space="preserve">Stembeleid op aandeelhoudersvergaderingen, gericht op lange-termijn duurzaamheid en </w:t>
      </w:r>
      <w:proofErr w:type="spellStart"/>
      <w:r w:rsidRPr="00C520C3">
        <w:t>governance</w:t>
      </w:r>
      <w:proofErr w:type="spellEnd"/>
      <w:r w:rsidRPr="00C520C3">
        <w:t>.</w:t>
      </w:r>
    </w:p>
    <w:p w14:paraId="46DB1EE3" w14:textId="77777777" w:rsidR="00EE37EA" w:rsidRPr="00C520C3" w:rsidRDefault="00EE37EA" w:rsidP="00EE37EA">
      <w:r w:rsidRPr="00C520C3">
        <w:t>Voor onze klanten betekent dit dat hun investering niet alleen de bedrijven selecteert die het goed doen, maar ook actief bijdraagt aan het verbeteren van duurzaamheid binnen ondernemingen.</w:t>
      </w:r>
    </w:p>
    <w:p w14:paraId="5F3CCFD7" w14:textId="77777777" w:rsidR="00EE37EA" w:rsidRPr="00C520C3" w:rsidRDefault="00EE37EA" w:rsidP="00EE37EA">
      <w:pPr>
        <w:rPr>
          <w:b/>
          <w:bCs/>
        </w:rPr>
      </w:pPr>
    </w:p>
    <w:p w14:paraId="3AFE6218" w14:textId="77777777" w:rsidR="00EE37EA" w:rsidRPr="00C520C3" w:rsidRDefault="00EE37EA" w:rsidP="00EE37EA">
      <w:pPr>
        <w:rPr>
          <w:b/>
          <w:bCs/>
        </w:rPr>
      </w:pPr>
      <w:r w:rsidRPr="00C520C3">
        <w:rPr>
          <w:b/>
          <w:bCs/>
        </w:rPr>
        <w:t>4. Een heldere en goed communiceerbare beleggingsstrategie</w:t>
      </w:r>
    </w:p>
    <w:p w14:paraId="4C05F747" w14:textId="77777777" w:rsidR="00EE37EA" w:rsidRPr="00C520C3" w:rsidRDefault="00EE37EA" w:rsidP="00EE37EA">
      <w:r w:rsidRPr="00C520C3">
        <w:t>De fondsdocumenten leggen de strategie duidelijk, concreet en transparant uit. Het is direct duidelijk hoe de portefeuille wordt opgebouwd en welke beslissingen worden genomen.</w:t>
      </w:r>
    </w:p>
    <w:p w14:paraId="1BEC405A" w14:textId="77777777" w:rsidR="00EE37EA" w:rsidRPr="00C520C3" w:rsidRDefault="00EE37EA" w:rsidP="00E1671C">
      <w:pPr>
        <w:numPr>
          <w:ilvl w:val="0"/>
          <w:numId w:val="37"/>
        </w:numPr>
        <w:spacing w:line="259" w:lineRule="auto"/>
      </w:pPr>
      <w:r w:rsidRPr="00C520C3">
        <w:t>Het fonds wordt actief beheerd, wat inhoudt dat Robeco actief selecteert welke aandelen worden opgenomen en waarom.</w:t>
      </w:r>
    </w:p>
    <w:p w14:paraId="516D8334" w14:textId="77777777" w:rsidR="00EE37EA" w:rsidRPr="00C520C3" w:rsidRDefault="00EE37EA" w:rsidP="00E1671C">
      <w:pPr>
        <w:numPr>
          <w:ilvl w:val="0"/>
          <w:numId w:val="37"/>
        </w:numPr>
        <w:spacing w:line="259" w:lineRule="auto"/>
      </w:pPr>
      <w:r w:rsidRPr="00C520C3">
        <w:t>De selectie is gebaseerd op fundamentele analyse, gecombineerd met ESG- en klimaatindicatoren.</w:t>
      </w:r>
    </w:p>
    <w:p w14:paraId="714F38CE" w14:textId="77777777" w:rsidR="00EE37EA" w:rsidRPr="00C520C3" w:rsidRDefault="00EE37EA" w:rsidP="00E1671C">
      <w:pPr>
        <w:numPr>
          <w:ilvl w:val="0"/>
          <w:numId w:val="37"/>
        </w:numPr>
        <w:spacing w:line="259" w:lineRule="auto"/>
      </w:pPr>
      <w:r w:rsidRPr="00C520C3">
        <w:t>Er wordt toegelicht waarom bepaalde aandelen de performance positief of negatief beïnvloeden, wat klanten inzicht geeft in de beslissingen van de fondsbeheerder.</w:t>
      </w:r>
    </w:p>
    <w:p w14:paraId="07432BA7" w14:textId="77777777" w:rsidR="00EE37EA" w:rsidRPr="00C520C3" w:rsidRDefault="00EE37EA" w:rsidP="00EE37EA">
      <w:r w:rsidRPr="00C520C3">
        <w:t>Voor een adviesbureau is deze mate van transparantie essentieel: wij willen onze klanten goed kunnen uitleggen waarom een fonds bepaalde keuzes maakt en wat de risico’s en kansen zijn.</w:t>
      </w:r>
    </w:p>
    <w:p w14:paraId="36EE600A" w14:textId="77777777" w:rsidR="00EE37EA" w:rsidRPr="00C520C3" w:rsidRDefault="00EE37EA" w:rsidP="00EE37EA"/>
    <w:p w14:paraId="71E72636" w14:textId="77777777" w:rsidR="00EE37EA" w:rsidRPr="00C520C3" w:rsidRDefault="00EE37EA" w:rsidP="00EE37EA">
      <w:pPr>
        <w:rPr>
          <w:b/>
          <w:bCs/>
        </w:rPr>
      </w:pPr>
      <w:r w:rsidRPr="00C520C3">
        <w:rPr>
          <w:b/>
          <w:bCs/>
        </w:rPr>
        <w:t>5. Kansrijke focus op opkomende markten</w:t>
      </w:r>
    </w:p>
    <w:p w14:paraId="4BB1E9DE" w14:textId="77777777" w:rsidR="00EE37EA" w:rsidRPr="00C520C3" w:rsidRDefault="00EE37EA" w:rsidP="00EE37EA">
      <w:r w:rsidRPr="00C520C3">
        <w:t>De energietransitie voltrekt zich niet alleen in Europa of de Verenigde Staten veel van de cruciale investeringen en innovaties vinden plaats in opkomende landen.</w:t>
      </w:r>
    </w:p>
    <w:p w14:paraId="0365B40E" w14:textId="77777777" w:rsidR="00EE37EA" w:rsidRPr="00C520C3" w:rsidRDefault="00EE37EA" w:rsidP="00EE37EA">
      <w:r w:rsidRPr="00C520C3">
        <w:t>Het fonds richt zich op landen zoals:</w:t>
      </w:r>
    </w:p>
    <w:p w14:paraId="6FB93EB8" w14:textId="77777777" w:rsidR="00EE37EA" w:rsidRPr="00C520C3" w:rsidRDefault="00EE37EA" w:rsidP="00E1671C">
      <w:pPr>
        <w:numPr>
          <w:ilvl w:val="0"/>
          <w:numId w:val="38"/>
        </w:numPr>
        <w:spacing w:line="259" w:lineRule="auto"/>
      </w:pPr>
      <w:r w:rsidRPr="00C520C3">
        <w:t>China</w:t>
      </w:r>
    </w:p>
    <w:p w14:paraId="30A81D8B" w14:textId="77777777" w:rsidR="00EE37EA" w:rsidRPr="00C520C3" w:rsidRDefault="00EE37EA" w:rsidP="00E1671C">
      <w:pPr>
        <w:numPr>
          <w:ilvl w:val="0"/>
          <w:numId w:val="38"/>
        </w:numPr>
        <w:spacing w:line="259" w:lineRule="auto"/>
      </w:pPr>
      <w:r w:rsidRPr="00C520C3">
        <w:t>India</w:t>
      </w:r>
    </w:p>
    <w:p w14:paraId="3C822B59" w14:textId="77777777" w:rsidR="00EE37EA" w:rsidRPr="00C520C3" w:rsidRDefault="00EE37EA" w:rsidP="00E1671C">
      <w:pPr>
        <w:numPr>
          <w:ilvl w:val="0"/>
          <w:numId w:val="38"/>
        </w:numPr>
        <w:spacing w:line="259" w:lineRule="auto"/>
      </w:pPr>
      <w:r w:rsidRPr="00C520C3">
        <w:t>Taiwan</w:t>
      </w:r>
    </w:p>
    <w:p w14:paraId="68C5C49B" w14:textId="77777777" w:rsidR="00EE37EA" w:rsidRPr="00C520C3" w:rsidRDefault="00EE37EA" w:rsidP="00E1671C">
      <w:pPr>
        <w:numPr>
          <w:ilvl w:val="0"/>
          <w:numId w:val="38"/>
        </w:numPr>
        <w:spacing w:line="259" w:lineRule="auto"/>
      </w:pPr>
      <w:r w:rsidRPr="00C520C3">
        <w:t>Brazilië</w:t>
      </w:r>
    </w:p>
    <w:p w14:paraId="06144EE5" w14:textId="77777777" w:rsidR="00EE37EA" w:rsidRPr="00C520C3" w:rsidRDefault="00EE37EA" w:rsidP="00E1671C">
      <w:pPr>
        <w:numPr>
          <w:ilvl w:val="0"/>
          <w:numId w:val="38"/>
        </w:numPr>
        <w:spacing w:line="259" w:lineRule="auto"/>
      </w:pPr>
      <w:r w:rsidRPr="00C520C3">
        <w:t>Zuid-Korea</w:t>
      </w:r>
    </w:p>
    <w:p w14:paraId="54235FD6" w14:textId="77777777" w:rsidR="00EE37EA" w:rsidRPr="00C520C3" w:rsidRDefault="00EE37EA" w:rsidP="00EE37EA">
      <w:r w:rsidRPr="00C520C3">
        <w:t>In deze landen wordt:</w:t>
      </w:r>
    </w:p>
    <w:p w14:paraId="6C207ADE" w14:textId="77777777" w:rsidR="00EE37EA" w:rsidRPr="00C520C3" w:rsidRDefault="00EE37EA" w:rsidP="00E1671C">
      <w:pPr>
        <w:numPr>
          <w:ilvl w:val="0"/>
          <w:numId w:val="39"/>
        </w:numPr>
        <w:spacing w:line="259" w:lineRule="auto"/>
      </w:pPr>
      <w:r w:rsidRPr="00C520C3">
        <w:t>De grootste energievraaggroei verwacht;</w:t>
      </w:r>
    </w:p>
    <w:p w14:paraId="35168698" w14:textId="77777777" w:rsidR="00EE37EA" w:rsidRPr="00C520C3" w:rsidRDefault="00EE37EA" w:rsidP="00E1671C">
      <w:pPr>
        <w:numPr>
          <w:ilvl w:val="0"/>
          <w:numId w:val="39"/>
        </w:numPr>
        <w:spacing w:line="259" w:lineRule="auto"/>
      </w:pPr>
      <w:r w:rsidRPr="00C520C3">
        <w:t>Een enorme toename van hernieuwbare energiecapaciteit gerealiseerd;</w:t>
      </w:r>
    </w:p>
    <w:p w14:paraId="3C363715" w14:textId="77777777" w:rsidR="00EE37EA" w:rsidRPr="00C520C3" w:rsidRDefault="00EE37EA" w:rsidP="00E1671C">
      <w:pPr>
        <w:numPr>
          <w:ilvl w:val="0"/>
          <w:numId w:val="39"/>
        </w:numPr>
        <w:spacing w:line="259" w:lineRule="auto"/>
      </w:pPr>
      <w:r w:rsidRPr="00C520C3">
        <w:t>Veel infrastructuur opnieuw opgebouwd, maar dan duurzaam;</w:t>
      </w:r>
    </w:p>
    <w:p w14:paraId="06EBED82" w14:textId="77777777" w:rsidR="00EE37EA" w:rsidRPr="00C520C3" w:rsidRDefault="00EE37EA" w:rsidP="00E1671C">
      <w:pPr>
        <w:numPr>
          <w:ilvl w:val="0"/>
          <w:numId w:val="39"/>
        </w:numPr>
        <w:spacing w:line="259" w:lineRule="auto"/>
      </w:pPr>
      <w:r w:rsidRPr="00C520C3">
        <w:t>Technologie ontwikkeld (zoals batterijen en halfgeleiders) die wereldwijd wordt gebruikt.</w:t>
      </w:r>
    </w:p>
    <w:p w14:paraId="240355A4" w14:textId="77777777" w:rsidR="00EE37EA" w:rsidRPr="00C520C3" w:rsidRDefault="00EE37EA" w:rsidP="00EE37EA">
      <w:r w:rsidRPr="00C520C3">
        <w:t>Door te beleggen in deze markten positioneert het fonds onze klanten in het centrum van wereldwijde klimaatinnovatie en de economische groei die daarmee gepaard gaat.</w:t>
      </w:r>
    </w:p>
    <w:p w14:paraId="2EF93E02" w14:textId="77777777" w:rsidR="00EE37EA" w:rsidRPr="00C520C3" w:rsidRDefault="00EE37EA" w:rsidP="00EE37EA"/>
    <w:p w14:paraId="2ACCACDE" w14:textId="77777777" w:rsidR="00EE37EA" w:rsidRPr="00C520C3" w:rsidRDefault="00EE37EA" w:rsidP="00EE37EA">
      <w:pPr>
        <w:rPr>
          <w:b/>
          <w:bCs/>
        </w:rPr>
      </w:pPr>
      <w:r w:rsidRPr="00C520C3">
        <w:rPr>
          <w:b/>
          <w:bCs/>
        </w:rPr>
        <w:t>6. Sterke financiële prestaties sinds de start</w:t>
      </w:r>
    </w:p>
    <w:p w14:paraId="091087D6" w14:textId="77777777" w:rsidR="00EE37EA" w:rsidRPr="00C520C3" w:rsidRDefault="00EE37EA" w:rsidP="00EE37EA">
      <w:r w:rsidRPr="00C520C3">
        <w:t>Ondanks dat het fonds pas in 2024 is gelanceerd, presteert het sterk en boven benchmarkniveau.</w:t>
      </w:r>
    </w:p>
    <w:p w14:paraId="5A37BF48" w14:textId="77777777" w:rsidR="00EE37EA" w:rsidRPr="00C520C3" w:rsidRDefault="00EE37EA" w:rsidP="00EE37EA">
      <w:r w:rsidRPr="00C520C3">
        <w:t xml:space="preserve">De cijfers uit de </w:t>
      </w:r>
      <w:proofErr w:type="spellStart"/>
      <w:r w:rsidRPr="00C520C3">
        <w:t>factsheet</w:t>
      </w:r>
      <w:proofErr w:type="spellEnd"/>
      <w:r w:rsidRPr="00C520C3">
        <w:t xml:space="preserve"> laten zien:</w:t>
      </w:r>
    </w:p>
    <w:p w14:paraId="27B2233F" w14:textId="77777777" w:rsidR="00EE37EA" w:rsidRPr="00C520C3" w:rsidRDefault="00EE37EA" w:rsidP="00E1671C">
      <w:pPr>
        <w:numPr>
          <w:ilvl w:val="0"/>
          <w:numId w:val="40"/>
        </w:numPr>
        <w:spacing w:line="259" w:lineRule="auto"/>
      </w:pPr>
      <w:r w:rsidRPr="00C520C3">
        <w:t>Sinds de start: positief rendement boven de benchmark;</w:t>
      </w:r>
    </w:p>
    <w:p w14:paraId="77FEE58D" w14:textId="77777777" w:rsidR="00EE37EA" w:rsidRPr="00C520C3" w:rsidRDefault="00EE37EA" w:rsidP="00E1671C">
      <w:pPr>
        <w:numPr>
          <w:ilvl w:val="0"/>
          <w:numId w:val="40"/>
        </w:numPr>
        <w:spacing w:line="259" w:lineRule="auto"/>
      </w:pPr>
      <w:r w:rsidRPr="00C520C3">
        <w:t>YTD: solide performance door sterke posities in industrie, halfgeleiders en duurzame energie-infrastructuur;</w:t>
      </w:r>
    </w:p>
    <w:p w14:paraId="08B93EDF" w14:textId="77777777" w:rsidR="00EE37EA" w:rsidRPr="00C520C3" w:rsidRDefault="00EE37EA" w:rsidP="00E1671C">
      <w:pPr>
        <w:numPr>
          <w:ilvl w:val="0"/>
          <w:numId w:val="40"/>
        </w:numPr>
        <w:spacing w:line="259" w:lineRule="auto"/>
      </w:pPr>
      <w:r w:rsidRPr="00C520C3">
        <w:t xml:space="preserve">De aandelenselectie is de belangrijkste bron van </w:t>
      </w:r>
      <w:proofErr w:type="spellStart"/>
      <w:r w:rsidRPr="00C520C3">
        <w:t>outperformance</w:t>
      </w:r>
      <w:proofErr w:type="spellEnd"/>
      <w:r w:rsidRPr="00C520C3">
        <w:t>.</w:t>
      </w:r>
    </w:p>
    <w:p w14:paraId="45ADB32C" w14:textId="77777777" w:rsidR="00EE37EA" w:rsidRPr="00C520C3" w:rsidRDefault="00EE37EA" w:rsidP="00EE37EA">
      <w:r w:rsidRPr="00C520C3">
        <w:t>Als adviesbureau vinden wij het belangrijk dat duurzame fondsen niet alleen maatschappelijk waardevol zijn, maar ook financieel aantrekkelijk. Dit fonds combineert beide.</w:t>
      </w:r>
    </w:p>
    <w:p w14:paraId="33BF87BC" w14:textId="77777777" w:rsidR="00EE37EA" w:rsidRPr="00C520C3" w:rsidRDefault="00EE37EA" w:rsidP="00EE37EA">
      <w:pPr>
        <w:rPr>
          <w:b/>
          <w:bCs/>
        </w:rPr>
      </w:pPr>
    </w:p>
    <w:p w14:paraId="55C70E96" w14:textId="77777777" w:rsidR="00EE37EA" w:rsidRPr="00C520C3" w:rsidRDefault="00EE37EA" w:rsidP="00EE37EA">
      <w:pPr>
        <w:rPr>
          <w:b/>
          <w:bCs/>
        </w:rPr>
      </w:pPr>
      <w:r w:rsidRPr="00C520C3">
        <w:rPr>
          <w:b/>
          <w:bCs/>
        </w:rPr>
        <w:t>7. Professioneel en betrouwbaar beheerd door Robeco</w:t>
      </w:r>
    </w:p>
    <w:p w14:paraId="508781C8" w14:textId="77777777" w:rsidR="00EE37EA" w:rsidRPr="00C520C3" w:rsidRDefault="00EE37EA" w:rsidP="00EE37EA">
      <w:r w:rsidRPr="00C520C3">
        <w:t>Robeco behoort tot de meest ervaren duurzame vermogensbeheerders ter wereld, met tientallen jaren ervaring in ESG-beleggen en een sterke reputatie op:</w:t>
      </w:r>
    </w:p>
    <w:p w14:paraId="798AC812" w14:textId="77777777" w:rsidR="00EE37EA" w:rsidRPr="00C520C3" w:rsidRDefault="00EE37EA" w:rsidP="00E1671C">
      <w:pPr>
        <w:numPr>
          <w:ilvl w:val="0"/>
          <w:numId w:val="41"/>
        </w:numPr>
        <w:spacing w:line="259" w:lineRule="auto"/>
      </w:pPr>
      <w:r w:rsidRPr="00C520C3">
        <w:t>Researchkwaliteit,</w:t>
      </w:r>
    </w:p>
    <w:p w14:paraId="5C2A4263" w14:textId="77777777" w:rsidR="00EE37EA" w:rsidRPr="00C520C3" w:rsidRDefault="00EE37EA" w:rsidP="00E1671C">
      <w:pPr>
        <w:numPr>
          <w:ilvl w:val="0"/>
          <w:numId w:val="41"/>
        </w:numPr>
        <w:spacing w:line="259" w:lineRule="auto"/>
      </w:pPr>
      <w:r w:rsidRPr="00C520C3">
        <w:t>Duurzaamheidsanalyse,</w:t>
      </w:r>
    </w:p>
    <w:p w14:paraId="5C41C6E0" w14:textId="77777777" w:rsidR="00EE37EA" w:rsidRPr="00C520C3" w:rsidRDefault="00EE37EA" w:rsidP="00E1671C">
      <w:pPr>
        <w:numPr>
          <w:ilvl w:val="0"/>
          <w:numId w:val="41"/>
        </w:numPr>
        <w:spacing w:line="259" w:lineRule="auto"/>
      </w:pPr>
      <w:r w:rsidRPr="00C520C3">
        <w:t>Risico- en portefeuilleanalyse,</w:t>
      </w:r>
    </w:p>
    <w:p w14:paraId="62776354" w14:textId="77777777" w:rsidR="00EE37EA" w:rsidRPr="00C520C3" w:rsidRDefault="00EE37EA" w:rsidP="00E1671C">
      <w:pPr>
        <w:numPr>
          <w:ilvl w:val="0"/>
          <w:numId w:val="41"/>
        </w:numPr>
        <w:spacing w:line="259" w:lineRule="auto"/>
      </w:pPr>
      <w:r w:rsidRPr="00C520C3">
        <w:t>Transparante rapportage,</w:t>
      </w:r>
    </w:p>
    <w:p w14:paraId="192A7332" w14:textId="77777777" w:rsidR="00EE37EA" w:rsidRPr="00C520C3" w:rsidRDefault="00EE37EA" w:rsidP="00E1671C">
      <w:pPr>
        <w:numPr>
          <w:ilvl w:val="0"/>
          <w:numId w:val="41"/>
        </w:numPr>
        <w:spacing w:line="259" w:lineRule="auto"/>
      </w:pPr>
      <w:r w:rsidRPr="00C520C3">
        <w:t>En verantwoord aandeelhouderschap.</w:t>
      </w:r>
    </w:p>
    <w:p w14:paraId="0C920B4D" w14:textId="77777777" w:rsidR="00EE37EA" w:rsidRPr="00C520C3" w:rsidRDefault="00EE37EA" w:rsidP="00EE37EA">
      <w:r w:rsidRPr="00C520C3">
        <w:t xml:space="preserve">Het fonds staat onder toezicht van Europese regelgevers en werkt met een duidelijke scheiding tussen beheer en bewaring van activa, wat de veiligheid en </w:t>
      </w:r>
      <w:proofErr w:type="spellStart"/>
      <w:r w:rsidRPr="00C520C3">
        <w:t>governance</w:t>
      </w:r>
      <w:proofErr w:type="spellEnd"/>
      <w:r w:rsidRPr="00C520C3">
        <w:t xml:space="preserve"> bevordert.</w:t>
      </w:r>
    </w:p>
    <w:p w14:paraId="59C83D0C" w14:textId="77777777" w:rsidR="00EE37EA" w:rsidRPr="00C520C3" w:rsidRDefault="00EE37EA" w:rsidP="00EE37EA">
      <w:r w:rsidRPr="00C520C3">
        <w:t>Voor onze klanten betekent dit:</w:t>
      </w:r>
      <w:r w:rsidRPr="00C520C3">
        <w:br/>
        <w:t>professioneel beheer, hoogwaardige research, en een solide proces.</w:t>
      </w:r>
    </w:p>
    <w:p w14:paraId="71DAD869" w14:textId="77777777" w:rsidR="00EE37EA" w:rsidRPr="00C520C3" w:rsidRDefault="00EE37EA" w:rsidP="00EE37EA">
      <w:pPr>
        <w:rPr>
          <w:b/>
          <w:bCs/>
        </w:rPr>
      </w:pPr>
    </w:p>
    <w:p w14:paraId="73AD394A" w14:textId="77777777" w:rsidR="00EE37EA" w:rsidRPr="00C520C3" w:rsidRDefault="00EE37EA" w:rsidP="00EE37EA">
      <w:pPr>
        <w:rPr>
          <w:b/>
          <w:bCs/>
        </w:rPr>
      </w:pPr>
      <w:r w:rsidRPr="00C520C3">
        <w:rPr>
          <w:b/>
          <w:bCs/>
        </w:rPr>
        <w:t>1. Communicatiebeleggingsstrategie (10%)</w:t>
      </w:r>
    </w:p>
    <w:p w14:paraId="577BC38B" w14:textId="77777777" w:rsidR="00EE37EA" w:rsidRPr="00C520C3" w:rsidRDefault="00EE37EA" w:rsidP="00EE37EA">
      <w:r w:rsidRPr="00C520C3">
        <w:t>Het fonds communiceert duidelijk en transparant over zijn beleggingsstrategie.</w:t>
      </w:r>
    </w:p>
    <w:p w14:paraId="4209887B" w14:textId="77777777" w:rsidR="00EE37EA" w:rsidRPr="00C520C3" w:rsidRDefault="00EE37EA" w:rsidP="00EE37EA">
      <w:r w:rsidRPr="00C520C3">
        <w:t>In het document wordt uitgelegd dat het fonds:</w:t>
      </w:r>
    </w:p>
    <w:p w14:paraId="02C5C07D" w14:textId="77777777" w:rsidR="00EE37EA" w:rsidRPr="00C520C3" w:rsidRDefault="00EE37EA" w:rsidP="00E1671C">
      <w:pPr>
        <w:numPr>
          <w:ilvl w:val="0"/>
          <w:numId w:val="42"/>
        </w:numPr>
        <w:spacing w:line="259" w:lineRule="auto"/>
      </w:pPr>
      <w:r w:rsidRPr="00C520C3">
        <w:t>Actief beheerd wordt door een team dat aandelen selecteert op basis van een combinatie van fundamentele analyse en klimaattransitiecriteria.</w:t>
      </w:r>
      <w:r w:rsidRPr="00C520C3">
        <w:br/>
        <w:t xml:space="preserve">→ “Het Robeco </w:t>
      </w:r>
      <w:proofErr w:type="spellStart"/>
      <w:r w:rsidRPr="00C520C3">
        <w:t>Emerging</w:t>
      </w:r>
      <w:proofErr w:type="spellEnd"/>
      <w:r w:rsidRPr="00C520C3">
        <w:t xml:space="preserve"> Markets </w:t>
      </w:r>
      <w:proofErr w:type="spellStart"/>
      <w:r w:rsidRPr="00C520C3">
        <w:t>Climate</w:t>
      </w:r>
      <w:proofErr w:type="spellEnd"/>
      <w:r w:rsidRPr="00C520C3">
        <w:t xml:space="preserve"> </w:t>
      </w:r>
      <w:proofErr w:type="spellStart"/>
      <w:r w:rsidRPr="00C520C3">
        <w:t>Transition</w:t>
      </w:r>
      <w:proofErr w:type="spellEnd"/>
      <w:r w:rsidRPr="00C520C3">
        <w:t xml:space="preserve"> </w:t>
      </w:r>
      <w:proofErr w:type="spellStart"/>
      <w:r w:rsidRPr="00C520C3">
        <w:t>Equities</w:t>
      </w:r>
      <w:proofErr w:type="spellEnd"/>
      <w:r w:rsidRPr="00C520C3">
        <w:t xml:space="preserve"> is ontwikkeld als een beleggingsfonds volgens Luxemburgs recht… </w:t>
      </w:r>
      <w:proofErr w:type="spellStart"/>
      <w:r w:rsidRPr="00C520C3">
        <w:t>Emerging</w:t>
      </w:r>
      <w:proofErr w:type="spellEnd"/>
      <w:r w:rsidRPr="00C520C3">
        <w:t xml:space="preserve"> Markets </w:t>
      </w:r>
      <w:proofErr w:type="spellStart"/>
      <w:r w:rsidRPr="00C520C3">
        <w:t>Climate</w:t>
      </w:r>
      <w:proofErr w:type="spellEnd"/>
      <w:r w:rsidRPr="00C520C3">
        <w:t xml:space="preserve"> </w:t>
      </w:r>
      <w:proofErr w:type="spellStart"/>
      <w:r w:rsidRPr="00C520C3">
        <w:t>Transition</w:t>
      </w:r>
      <w:proofErr w:type="spellEnd"/>
      <w:r w:rsidRPr="00C520C3">
        <w:t xml:space="preserve"> </w:t>
      </w:r>
      <w:proofErr w:type="spellStart"/>
      <w:r w:rsidRPr="00C520C3">
        <w:t>Equities</w:t>
      </w:r>
      <w:proofErr w:type="spellEnd"/>
      <w:r w:rsidRPr="00C520C3">
        <w:t xml:space="preserve"> belegt in aandelen van bedrijven in opkomende landen.” </w:t>
      </w:r>
    </w:p>
    <w:p w14:paraId="77761ACD" w14:textId="77777777" w:rsidR="00EE37EA" w:rsidRPr="00C520C3" w:rsidRDefault="00EE37EA" w:rsidP="00E1671C">
      <w:pPr>
        <w:numPr>
          <w:ilvl w:val="0"/>
          <w:numId w:val="42"/>
        </w:numPr>
        <w:spacing w:line="259" w:lineRule="auto"/>
      </w:pPr>
      <w:r w:rsidRPr="00C520C3">
        <w:t>Een selectie maakt van bedrijven die een onderschatte bijdrage leveren aan de klimaattransitie, waaronder energietechnologie, elektrificatie en efficiënte industriële infrastructuur.</w:t>
      </w:r>
    </w:p>
    <w:p w14:paraId="08EF2ECD" w14:textId="77777777" w:rsidR="00EE37EA" w:rsidRPr="00C520C3" w:rsidRDefault="00EE37EA" w:rsidP="00EE37EA">
      <w:pPr>
        <w:ind w:left="720"/>
      </w:pPr>
      <w:r w:rsidRPr="00C520C3">
        <w:t xml:space="preserve">→ “Met deze benadering probeert de portefeuillebeheerder te bepalen in welke bedrijven de waarde van de overgang naar een CO₂-arme economie wordt onderschat.” </w:t>
      </w:r>
    </w:p>
    <w:p w14:paraId="5AE3307C" w14:textId="77777777" w:rsidR="00EE37EA" w:rsidRPr="00C520C3" w:rsidRDefault="00EE37EA" w:rsidP="00E1671C">
      <w:pPr>
        <w:numPr>
          <w:ilvl w:val="0"/>
          <w:numId w:val="42"/>
        </w:numPr>
        <w:spacing w:line="259" w:lineRule="auto"/>
      </w:pPr>
      <w:r w:rsidRPr="00C520C3">
        <w:t>De fondsbeheerder geeft concreet inzicht in welke posities positief of negatief presteerden en waarom:</w:t>
      </w:r>
      <w:r w:rsidRPr="00C520C3">
        <w:br/>
        <w:t xml:space="preserve">→ Positief: Hyundai Electric &amp; Energy Systems (sterke groei), </w:t>
      </w:r>
      <w:proofErr w:type="spellStart"/>
      <w:r w:rsidRPr="00C520C3">
        <w:t>Sieyuan</w:t>
      </w:r>
      <w:proofErr w:type="spellEnd"/>
      <w:r w:rsidRPr="00C520C3">
        <w:t xml:space="preserve"> Electric (vraag naar energietechnologie)</w:t>
      </w:r>
      <w:r w:rsidRPr="00C520C3">
        <w:br/>
        <w:t xml:space="preserve">→ Negatief: CATL en </w:t>
      </w:r>
      <w:proofErr w:type="spellStart"/>
      <w:r w:rsidRPr="00C520C3">
        <w:t>Yadea</w:t>
      </w:r>
      <w:proofErr w:type="spellEnd"/>
      <w:r w:rsidRPr="00C520C3">
        <w:t xml:space="preserve"> (sentiment, vraagfactoren)</w:t>
      </w:r>
      <w:r w:rsidRPr="00C520C3">
        <w:br/>
      </w:r>
    </w:p>
    <w:p w14:paraId="58C7DFDC" w14:textId="77777777" w:rsidR="00EE37EA" w:rsidRPr="00C520C3" w:rsidRDefault="00EE37EA" w:rsidP="00EE37EA">
      <w:r w:rsidRPr="00C520C3">
        <w:t xml:space="preserve">Deze informatie laat zien dat het fonds niet alleen uitlegt </w:t>
      </w:r>
      <w:r w:rsidRPr="00C520C3">
        <w:rPr>
          <w:i/>
          <w:iCs/>
        </w:rPr>
        <w:t>wat</w:t>
      </w:r>
      <w:r w:rsidRPr="00C520C3">
        <w:t xml:space="preserve"> ze doen, maar ook </w:t>
      </w:r>
      <w:r w:rsidRPr="00C520C3">
        <w:rPr>
          <w:i/>
          <w:iCs/>
        </w:rPr>
        <w:t>waarom</w:t>
      </w:r>
      <w:r w:rsidRPr="00C520C3">
        <w:t xml:space="preserve"> zij bepaalde bedrijven hebben gekocht of waarom bepaalde aandelen het rendement beïnvloeden een cruciale vorm van klanttransparantie.</w:t>
      </w:r>
    </w:p>
    <w:p w14:paraId="06E3DA76" w14:textId="77777777" w:rsidR="00EE37EA" w:rsidRPr="00C520C3" w:rsidRDefault="00EE37EA" w:rsidP="00EE37EA">
      <w:r w:rsidRPr="00C520C3">
        <w:t>Beoordeling:</w:t>
      </w:r>
    </w:p>
    <w:p w14:paraId="6E4084AE" w14:textId="77777777" w:rsidR="00EE37EA" w:rsidRPr="00C520C3" w:rsidRDefault="00EE37EA" w:rsidP="00EE37EA">
      <w:r w:rsidRPr="00C520C3">
        <w:t>Score: 9/10 (uitstekend toegelichte strategie en duidelijkheid over portefeuillebeslissingen)</w:t>
      </w:r>
    </w:p>
    <w:p w14:paraId="3C2F00AC" w14:textId="77777777" w:rsidR="00EE37EA" w:rsidRPr="00C520C3" w:rsidRDefault="00EE37EA" w:rsidP="00EE37EA">
      <w:pPr>
        <w:rPr>
          <w:b/>
          <w:bCs/>
        </w:rPr>
      </w:pPr>
    </w:p>
    <w:p w14:paraId="72398AE4" w14:textId="77777777" w:rsidR="00EE37EA" w:rsidRPr="00C520C3" w:rsidRDefault="00EE37EA" w:rsidP="00EE37EA">
      <w:pPr>
        <w:rPr>
          <w:b/>
          <w:bCs/>
        </w:rPr>
      </w:pPr>
      <w:r w:rsidRPr="00C520C3">
        <w:rPr>
          <w:b/>
          <w:bCs/>
        </w:rPr>
        <w:t>2. Historische risico/rendementsverhouding (25%)</w:t>
      </w:r>
    </w:p>
    <w:p w14:paraId="249246D0" w14:textId="77777777" w:rsidR="00EE37EA" w:rsidRPr="00C520C3" w:rsidRDefault="00EE37EA" w:rsidP="00EE37EA">
      <w:r w:rsidRPr="00C520C3">
        <w:t>De fondsdocumenten tonen dat het fonds sinds lancering (2024) een sterke start heeft gemaakt:</w:t>
      </w:r>
    </w:p>
    <w:p w14:paraId="1AB36851" w14:textId="77777777" w:rsidR="00EE37EA" w:rsidRPr="00EE37EA" w:rsidRDefault="00EE37EA" w:rsidP="00E1671C">
      <w:pPr>
        <w:numPr>
          <w:ilvl w:val="0"/>
          <w:numId w:val="43"/>
        </w:numPr>
        <w:spacing w:line="259" w:lineRule="auto"/>
        <w:rPr>
          <w:lang w:val="en-US"/>
        </w:rPr>
      </w:pPr>
      <w:r w:rsidRPr="00EE37EA">
        <w:rPr>
          <w:lang w:val="en-US"/>
        </w:rPr>
        <w:t>“</w:t>
      </w:r>
      <w:proofErr w:type="spellStart"/>
      <w:r w:rsidRPr="00EE37EA">
        <w:rPr>
          <w:lang w:val="en-US"/>
        </w:rPr>
        <w:t>Rendement</w:t>
      </w:r>
      <w:proofErr w:type="spellEnd"/>
      <w:r w:rsidRPr="00EE37EA">
        <w:rPr>
          <w:lang w:val="en-US"/>
        </w:rPr>
        <w:t xml:space="preserve"> YTD: 21,02% (F share class)”</w:t>
      </w:r>
    </w:p>
    <w:p w14:paraId="6FB59B3A" w14:textId="77777777" w:rsidR="00EE37EA" w:rsidRPr="00C520C3" w:rsidRDefault="00EE37EA" w:rsidP="00E1671C">
      <w:pPr>
        <w:numPr>
          <w:ilvl w:val="0"/>
          <w:numId w:val="43"/>
        </w:numPr>
        <w:spacing w:line="259" w:lineRule="auto"/>
      </w:pPr>
      <w:r w:rsidRPr="00C520C3">
        <w:t>“Sinds start: 17,47%”</w:t>
      </w:r>
    </w:p>
    <w:p w14:paraId="2510FBEE" w14:textId="77777777" w:rsidR="00EE37EA" w:rsidRPr="00C520C3" w:rsidRDefault="00EE37EA" w:rsidP="00EE37EA">
      <w:r w:rsidRPr="00C520C3">
        <w:t>Daarnaast wordt duidelijk dat:</w:t>
      </w:r>
    </w:p>
    <w:p w14:paraId="179D96AE" w14:textId="77777777" w:rsidR="00EE37EA" w:rsidRPr="00C520C3" w:rsidRDefault="00EE37EA" w:rsidP="00E1671C">
      <w:pPr>
        <w:numPr>
          <w:ilvl w:val="0"/>
          <w:numId w:val="44"/>
        </w:numPr>
        <w:spacing w:line="259" w:lineRule="auto"/>
      </w:pPr>
      <w:r w:rsidRPr="00C520C3">
        <w:t>Het fonds beter presteert dan de benchmark op YTD-basis,</w:t>
      </w:r>
    </w:p>
    <w:p w14:paraId="13AA540D" w14:textId="77777777" w:rsidR="00EE37EA" w:rsidRPr="00C520C3" w:rsidRDefault="00EE37EA" w:rsidP="00E1671C">
      <w:pPr>
        <w:numPr>
          <w:ilvl w:val="0"/>
          <w:numId w:val="44"/>
        </w:numPr>
        <w:spacing w:line="259" w:lineRule="auto"/>
      </w:pPr>
      <w:r w:rsidRPr="00C520C3">
        <w:t>En dat de performance vooral wordt gedragen door succesvolle aandelenselectie binnen energie-infrastructuur, elektrificatie en industriële technologie.</w:t>
      </w:r>
    </w:p>
    <w:p w14:paraId="08672B1A" w14:textId="77777777" w:rsidR="00EE37EA" w:rsidRPr="00C520C3" w:rsidRDefault="00EE37EA" w:rsidP="00EE37EA">
      <w:r w:rsidRPr="00C520C3">
        <w:t>Omdat het fonds nieuw is, kan de risico-rendementsverhouding slechts worden beoordeeld op basis van korte historie. Toch geeft de PRIIPS een risicocategorie:</w:t>
      </w:r>
    </w:p>
    <w:p w14:paraId="78ED36A5" w14:textId="77777777" w:rsidR="00EE37EA" w:rsidRPr="00C520C3" w:rsidRDefault="00EE37EA" w:rsidP="00E1671C">
      <w:pPr>
        <w:numPr>
          <w:ilvl w:val="0"/>
          <w:numId w:val="45"/>
        </w:numPr>
        <w:spacing w:line="259" w:lineRule="auto"/>
      </w:pPr>
      <w:r w:rsidRPr="00C520C3">
        <w:t xml:space="preserve">Risicoklasse: 4/7 → gemiddeld risico passend bij </w:t>
      </w:r>
      <w:proofErr w:type="spellStart"/>
      <w:r w:rsidRPr="00C520C3">
        <w:t>emerging</w:t>
      </w:r>
      <w:proofErr w:type="spellEnd"/>
      <w:r w:rsidRPr="00C520C3">
        <w:t>-markets-aandelen.</w:t>
      </w:r>
    </w:p>
    <w:p w14:paraId="3F564C9B" w14:textId="77777777" w:rsidR="00EE37EA" w:rsidRPr="00C520C3" w:rsidRDefault="00EE37EA" w:rsidP="00EE37EA">
      <w:r w:rsidRPr="00C520C3">
        <w:t>Beoordeling:</w:t>
      </w:r>
    </w:p>
    <w:p w14:paraId="6CC5A91A" w14:textId="77777777" w:rsidR="00EE37EA" w:rsidRPr="00C520C3" w:rsidRDefault="00EE37EA" w:rsidP="00EE37EA">
      <w:r w:rsidRPr="00C520C3">
        <w:t>Score: 8/10 (sterke start maar beperkte trackrecord)</w:t>
      </w:r>
    </w:p>
    <w:p w14:paraId="75F53FA1" w14:textId="77777777" w:rsidR="00EE37EA" w:rsidRPr="00C520C3" w:rsidRDefault="00EE37EA" w:rsidP="00EE37EA">
      <w:pPr>
        <w:rPr>
          <w:b/>
          <w:bCs/>
        </w:rPr>
      </w:pPr>
      <w:r w:rsidRPr="00C520C3">
        <w:rPr>
          <w:b/>
          <w:bCs/>
        </w:rPr>
        <w:t>3. Kosten (15%)</w:t>
      </w:r>
    </w:p>
    <w:p w14:paraId="5C9706FC" w14:textId="77777777" w:rsidR="00EE37EA" w:rsidRPr="00C520C3" w:rsidRDefault="00EE37EA" w:rsidP="00EE37EA">
      <w:r w:rsidRPr="00C520C3">
        <w:t>Uit het Essentiële-informatiedocument blijkt:</w:t>
      </w:r>
    </w:p>
    <w:p w14:paraId="28F3E95C" w14:textId="77777777" w:rsidR="00EE37EA" w:rsidRPr="00C520C3" w:rsidRDefault="00EE37EA" w:rsidP="00E1671C">
      <w:pPr>
        <w:numPr>
          <w:ilvl w:val="0"/>
          <w:numId w:val="46"/>
        </w:numPr>
        <w:spacing w:line="259" w:lineRule="auto"/>
      </w:pPr>
      <w:proofErr w:type="spellStart"/>
      <w:r w:rsidRPr="00EE37EA">
        <w:rPr>
          <w:lang w:val="en-US"/>
        </w:rPr>
        <w:t>Lopende</w:t>
      </w:r>
      <w:proofErr w:type="spellEnd"/>
      <w:r w:rsidRPr="00EE37EA">
        <w:rPr>
          <w:lang w:val="en-US"/>
        </w:rPr>
        <w:t xml:space="preserve"> </w:t>
      </w:r>
      <w:proofErr w:type="spellStart"/>
      <w:r w:rsidRPr="00EE37EA">
        <w:rPr>
          <w:lang w:val="en-US"/>
        </w:rPr>
        <w:t>kosten</w:t>
      </w:r>
      <w:proofErr w:type="spellEnd"/>
      <w:r w:rsidRPr="00EE37EA">
        <w:rPr>
          <w:lang w:val="en-US"/>
        </w:rPr>
        <w:t>: 1,05%</w:t>
      </w:r>
      <w:r w:rsidRPr="00EE37EA">
        <w:rPr>
          <w:lang w:val="en-US"/>
        </w:rPr>
        <w:br/>
        <w:t xml:space="preserve">→ “Details of the overall costs… </w:t>
      </w:r>
      <w:r w:rsidRPr="00C520C3">
        <w:t xml:space="preserve">1.05% per </w:t>
      </w:r>
      <w:proofErr w:type="spellStart"/>
      <w:r w:rsidRPr="00C520C3">
        <w:t>year</w:t>
      </w:r>
      <w:proofErr w:type="spellEnd"/>
      <w:r w:rsidRPr="00C520C3">
        <w:t xml:space="preserve">.” </w:t>
      </w:r>
    </w:p>
    <w:p w14:paraId="304C32E8" w14:textId="77777777" w:rsidR="00EE37EA" w:rsidRPr="00C520C3" w:rsidRDefault="00EE37EA" w:rsidP="00E1671C">
      <w:pPr>
        <w:numPr>
          <w:ilvl w:val="0"/>
          <w:numId w:val="46"/>
        </w:numPr>
        <w:spacing w:line="259" w:lineRule="auto"/>
      </w:pPr>
      <w:r w:rsidRPr="00C520C3">
        <w:t>Dit is inclusief:</w:t>
      </w:r>
    </w:p>
    <w:p w14:paraId="7649C8DE" w14:textId="77777777" w:rsidR="00EE37EA" w:rsidRPr="00C520C3" w:rsidRDefault="00EE37EA" w:rsidP="00E1671C">
      <w:pPr>
        <w:numPr>
          <w:ilvl w:val="1"/>
          <w:numId w:val="46"/>
        </w:numPr>
        <w:spacing w:line="259" w:lineRule="auto"/>
      </w:pPr>
      <w:proofErr w:type="spellStart"/>
      <w:r w:rsidRPr="00C520C3">
        <w:t>Beheerfee</w:t>
      </w:r>
      <w:proofErr w:type="spellEnd"/>
    </w:p>
    <w:p w14:paraId="07ABDDA5" w14:textId="77777777" w:rsidR="00EE37EA" w:rsidRPr="00C520C3" w:rsidRDefault="00EE37EA" w:rsidP="00E1671C">
      <w:pPr>
        <w:numPr>
          <w:ilvl w:val="1"/>
          <w:numId w:val="46"/>
        </w:numPr>
        <w:spacing w:line="259" w:lineRule="auto"/>
      </w:pPr>
      <w:r w:rsidRPr="00C520C3">
        <w:t>Servicekosten</w:t>
      </w:r>
    </w:p>
    <w:p w14:paraId="6762B31E" w14:textId="77777777" w:rsidR="00EE37EA" w:rsidRPr="00C520C3" w:rsidRDefault="00EE37EA" w:rsidP="00E1671C">
      <w:pPr>
        <w:numPr>
          <w:ilvl w:val="1"/>
          <w:numId w:val="46"/>
        </w:numPr>
        <w:spacing w:line="259" w:lineRule="auto"/>
      </w:pPr>
      <w:r w:rsidRPr="00C520C3">
        <w:t>Transactiekosten</w:t>
      </w:r>
    </w:p>
    <w:p w14:paraId="507E7E3C" w14:textId="77777777" w:rsidR="00EE37EA" w:rsidRPr="00C520C3" w:rsidRDefault="00EE37EA" w:rsidP="00EE37EA">
      <w:r w:rsidRPr="00C520C3">
        <w:t>Ten opzichte van andere actief beheerde duurzame EM-aandelenfondsen zitten deze kosten in de middenmoot. Ze liggen hoger dan die van passieve fondsen, maar lager dan vergelijkbare thematische actieve fondsen.</w:t>
      </w:r>
    </w:p>
    <w:p w14:paraId="1FBD92B3" w14:textId="77777777" w:rsidR="00EE37EA" w:rsidRPr="00C520C3" w:rsidRDefault="00EE37EA" w:rsidP="00EE37EA">
      <w:r w:rsidRPr="00C520C3">
        <w:t>Beoordeling:</w:t>
      </w:r>
    </w:p>
    <w:p w14:paraId="46B19AC5" w14:textId="77777777" w:rsidR="00EE37EA" w:rsidRPr="00C520C3" w:rsidRDefault="00EE37EA" w:rsidP="00EE37EA">
      <w:r w:rsidRPr="00C520C3">
        <w:t>Score: 8/10 (marktconform, duidelijk gecommuniceerd)</w:t>
      </w:r>
    </w:p>
    <w:p w14:paraId="268B44D2" w14:textId="77777777" w:rsidR="00EE37EA" w:rsidRPr="00C520C3" w:rsidRDefault="00EE37EA" w:rsidP="00EE37EA">
      <w:pPr>
        <w:rPr>
          <w:b/>
          <w:bCs/>
        </w:rPr>
      </w:pPr>
      <w:r w:rsidRPr="00C520C3">
        <w:rPr>
          <w:b/>
          <w:bCs/>
        </w:rPr>
        <w:t>4. Aansluiting bij de strategie van het adviesbureau (30%)</w:t>
      </w:r>
    </w:p>
    <w:p w14:paraId="47DBEA2E" w14:textId="77777777" w:rsidR="00EE37EA" w:rsidRPr="00C520C3" w:rsidRDefault="00EE37EA" w:rsidP="00EE37EA">
      <w:pPr>
        <w:rPr>
          <w:b/>
          <w:bCs/>
        </w:rPr>
      </w:pPr>
      <w:r w:rsidRPr="00C520C3">
        <w:rPr>
          <w:b/>
          <w:bCs/>
        </w:rPr>
        <w:t>Duurzaamheidsbeleid van het fonds</w:t>
      </w:r>
    </w:p>
    <w:p w14:paraId="5AB3C1E6" w14:textId="77777777" w:rsidR="00EE37EA" w:rsidRPr="00C520C3" w:rsidRDefault="00EE37EA" w:rsidP="00EE37EA">
      <w:r w:rsidRPr="00C520C3">
        <w:t xml:space="preserve">Het fonds heeft een </w:t>
      </w:r>
      <w:proofErr w:type="spellStart"/>
      <w:r w:rsidRPr="00C520C3">
        <w:t>thematefocus</w:t>
      </w:r>
      <w:proofErr w:type="spellEnd"/>
      <w:r w:rsidRPr="00C520C3">
        <w:t xml:space="preserve"> op klimaattransitie:</w:t>
      </w:r>
    </w:p>
    <w:p w14:paraId="3D227091" w14:textId="77777777" w:rsidR="00EE37EA" w:rsidRPr="00C520C3" w:rsidRDefault="00EE37EA" w:rsidP="00EE37EA">
      <w:r w:rsidRPr="00C520C3">
        <w:t>→ “</w:t>
      </w:r>
      <w:proofErr w:type="spellStart"/>
      <w:r w:rsidRPr="00C520C3">
        <w:t>Emerging</w:t>
      </w:r>
      <w:proofErr w:type="spellEnd"/>
      <w:r w:rsidRPr="00C520C3">
        <w:t xml:space="preserve"> Markets </w:t>
      </w:r>
      <w:proofErr w:type="spellStart"/>
      <w:r w:rsidRPr="00C520C3">
        <w:t>Climate</w:t>
      </w:r>
      <w:proofErr w:type="spellEnd"/>
      <w:r w:rsidRPr="00C520C3">
        <w:t xml:space="preserve"> </w:t>
      </w:r>
      <w:proofErr w:type="spellStart"/>
      <w:r w:rsidRPr="00C520C3">
        <w:t>Transition</w:t>
      </w:r>
      <w:proofErr w:type="spellEnd"/>
      <w:r w:rsidRPr="00C520C3">
        <w:t xml:space="preserve"> </w:t>
      </w:r>
      <w:proofErr w:type="spellStart"/>
      <w:r w:rsidRPr="00C520C3">
        <w:t>Equities</w:t>
      </w:r>
      <w:proofErr w:type="spellEnd"/>
      <w:r w:rsidRPr="00C520C3">
        <w:t xml:space="preserve"> belegt in bedrijven die bijdragen aan de overgang naar een CO₂-arme economie.”</w:t>
      </w:r>
    </w:p>
    <w:p w14:paraId="6D45469C" w14:textId="77777777" w:rsidR="00EE37EA" w:rsidRPr="00C520C3" w:rsidRDefault="00EE37EA" w:rsidP="00EE37EA">
      <w:r w:rsidRPr="00C520C3">
        <w:t>Het beleid richt zich op:</w:t>
      </w:r>
    </w:p>
    <w:p w14:paraId="15B2CA02" w14:textId="77777777" w:rsidR="00EE37EA" w:rsidRPr="00C520C3" w:rsidRDefault="00EE37EA" w:rsidP="00E1671C">
      <w:pPr>
        <w:numPr>
          <w:ilvl w:val="0"/>
          <w:numId w:val="47"/>
        </w:numPr>
        <w:spacing w:line="259" w:lineRule="auto"/>
      </w:pPr>
      <w:r w:rsidRPr="00C520C3">
        <w:t>Bedrijven die oplossingen bieden voor energietransitie;</w:t>
      </w:r>
    </w:p>
    <w:p w14:paraId="06FC619B" w14:textId="77777777" w:rsidR="00EE37EA" w:rsidRPr="00C520C3" w:rsidRDefault="00EE37EA" w:rsidP="00E1671C">
      <w:pPr>
        <w:numPr>
          <w:ilvl w:val="0"/>
          <w:numId w:val="47"/>
        </w:numPr>
        <w:spacing w:line="259" w:lineRule="auto"/>
      </w:pPr>
      <w:r w:rsidRPr="00C520C3">
        <w:t>Industriële elektrificatie, netwerktechnologie en hernieuwbare infrastructuur;</w:t>
      </w:r>
    </w:p>
    <w:p w14:paraId="1B39379A" w14:textId="77777777" w:rsidR="00EE37EA" w:rsidRPr="00C520C3" w:rsidRDefault="00EE37EA" w:rsidP="00E1671C">
      <w:pPr>
        <w:numPr>
          <w:ilvl w:val="0"/>
          <w:numId w:val="47"/>
        </w:numPr>
        <w:spacing w:line="259" w:lineRule="auto"/>
      </w:pPr>
      <w:r w:rsidRPr="00C520C3">
        <w:t>Efficiënte energievoorziening in opkomende markten.</w:t>
      </w:r>
    </w:p>
    <w:p w14:paraId="7D16BC93" w14:textId="77777777" w:rsidR="00EE37EA" w:rsidRPr="00C520C3" w:rsidRDefault="00EE37EA" w:rsidP="00EE37EA">
      <w:pPr>
        <w:rPr>
          <w:b/>
          <w:bCs/>
        </w:rPr>
      </w:pPr>
      <w:r w:rsidRPr="00C520C3">
        <w:rPr>
          <w:b/>
          <w:bCs/>
        </w:rPr>
        <w:t>Besluitvormingscriteria</w:t>
      </w:r>
    </w:p>
    <w:p w14:paraId="6C4D44FE" w14:textId="77777777" w:rsidR="00EE37EA" w:rsidRPr="00C520C3" w:rsidRDefault="00EE37EA" w:rsidP="00EE37EA">
      <w:r w:rsidRPr="00C520C3">
        <w:t>Het fonds hanteert meerdere duurzame selectiecriteria:</w:t>
      </w:r>
    </w:p>
    <w:p w14:paraId="6B5CAC32" w14:textId="77777777" w:rsidR="00EE37EA" w:rsidRPr="00C520C3" w:rsidRDefault="00EE37EA" w:rsidP="00EE37EA">
      <w:r w:rsidRPr="00C520C3">
        <w:t>Het fonds verwijdert bedrijven die internationale normen schenden of betrokken zijn bij schadelijke activiteiten.</w:t>
      </w:r>
      <w:r w:rsidRPr="00C520C3">
        <w:br/>
        <w:t>→ “De strategie omvat uitsluitingen op basis van internationale normen en sectorspecifieke criteria.”</w:t>
      </w:r>
    </w:p>
    <w:p w14:paraId="5D46F7F8" w14:textId="77777777" w:rsidR="00EE37EA" w:rsidRPr="00C520C3" w:rsidRDefault="00EE37EA" w:rsidP="00EE37EA">
      <w:r w:rsidRPr="00C520C3">
        <w:t>ESG-integratie</w:t>
      </w:r>
    </w:p>
    <w:p w14:paraId="06A3BE0A" w14:textId="77777777" w:rsidR="00EE37EA" w:rsidRPr="00C520C3" w:rsidRDefault="00EE37EA" w:rsidP="00EE37EA">
      <w:r w:rsidRPr="00C520C3">
        <w:t>Robeco integreert ESG volledig in het beleggingsproces.</w:t>
      </w:r>
      <w:r w:rsidRPr="00C520C3">
        <w:br/>
        <w:t>→ “ESG-integratie wordt toegepast in fundamentele analyse en risico-inschatting.”</w:t>
      </w:r>
    </w:p>
    <w:p w14:paraId="52BE2A0C" w14:textId="77777777" w:rsidR="00EE37EA" w:rsidRPr="00C520C3" w:rsidRDefault="00EE37EA" w:rsidP="00EE37EA">
      <w:proofErr w:type="spellStart"/>
      <w:r w:rsidRPr="00C520C3">
        <w:t>Themabeleggen</w:t>
      </w:r>
      <w:proofErr w:type="spellEnd"/>
      <w:r w:rsidRPr="00C520C3">
        <w:t xml:space="preserve"> (impact op klimaattransitie)</w:t>
      </w:r>
    </w:p>
    <w:p w14:paraId="645FF2D6" w14:textId="77777777" w:rsidR="00EE37EA" w:rsidRPr="00C520C3" w:rsidRDefault="00EE37EA" w:rsidP="00EE37EA">
      <w:r w:rsidRPr="00C520C3">
        <w:t>→ De portefeuille bestaat uitsluitend uit bedrijven die actief bijdragen aan de energietransitie.</w:t>
      </w:r>
    </w:p>
    <w:p w14:paraId="4FF3EBD6" w14:textId="77777777" w:rsidR="00EE37EA" w:rsidRPr="00C520C3" w:rsidRDefault="00EE37EA" w:rsidP="00EE37EA">
      <w:r w:rsidRPr="00C520C3">
        <w:t>Engagement en stembeleid</w:t>
      </w:r>
    </w:p>
    <w:p w14:paraId="5BAB4064" w14:textId="77777777" w:rsidR="00EE37EA" w:rsidRPr="00C520C3" w:rsidRDefault="00EE37EA" w:rsidP="00EE37EA">
      <w:r w:rsidRPr="00C520C3">
        <w:t xml:space="preserve">→ “Robeco past </w:t>
      </w:r>
      <w:proofErr w:type="spellStart"/>
      <w:r w:rsidRPr="00C520C3">
        <w:t>value</w:t>
      </w:r>
      <w:proofErr w:type="spellEnd"/>
      <w:r w:rsidRPr="00C520C3">
        <w:t xml:space="preserve"> engagement, </w:t>
      </w:r>
      <w:proofErr w:type="spellStart"/>
      <w:r w:rsidRPr="00C520C3">
        <w:t>enhanced</w:t>
      </w:r>
      <w:proofErr w:type="spellEnd"/>
      <w:r w:rsidRPr="00C520C3">
        <w:t xml:space="preserve"> engagement en SDG-engagement toe binnen de portefeuille.”</w:t>
      </w:r>
      <w:r w:rsidRPr="00C520C3">
        <w:br/>
      </w:r>
    </w:p>
    <w:p w14:paraId="53D21963" w14:textId="77777777" w:rsidR="00EE37EA" w:rsidRPr="00C520C3" w:rsidRDefault="00EE37EA" w:rsidP="00EE37EA">
      <w:r w:rsidRPr="00C520C3">
        <w:rPr>
          <w:b/>
          <w:bCs/>
        </w:rPr>
        <w:t>Striktheid van de criteria</w:t>
      </w:r>
    </w:p>
    <w:p w14:paraId="3E24DBBB" w14:textId="77777777" w:rsidR="00EE37EA" w:rsidRPr="00C520C3" w:rsidRDefault="00EE37EA" w:rsidP="00EE37EA">
      <w:r w:rsidRPr="00C520C3">
        <w:t>De strengheid blijkt onder andere uit:</w:t>
      </w:r>
    </w:p>
    <w:p w14:paraId="270E7CF0" w14:textId="77777777" w:rsidR="00EE37EA" w:rsidRPr="00C520C3" w:rsidRDefault="00EE37EA" w:rsidP="00E1671C">
      <w:pPr>
        <w:numPr>
          <w:ilvl w:val="0"/>
          <w:numId w:val="48"/>
        </w:numPr>
        <w:spacing w:line="259" w:lineRule="auto"/>
      </w:pPr>
      <w:r w:rsidRPr="00C520C3">
        <w:t>Minimaal 20% lagere milieuvoetafdruk dan de benchmark op CO₂, water en afval.</w:t>
      </w:r>
      <w:r w:rsidRPr="00C520C3">
        <w:br/>
        <w:t xml:space="preserve">→ “Overall footprint at </w:t>
      </w:r>
      <w:proofErr w:type="spellStart"/>
      <w:r w:rsidRPr="00C520C3">
        <w:t>least</w:t>
      </w:r>
      <w:proofErr w:type="spellEnd"/>
      <w:r w:rsidRPr="00C520C3">
        <w:t xml:space="preserve"> 20% </w:t>
      </w:r>
      <w:proofErr w:type="spellStart"/>
      <w:r w:rsidRPr="00C520C3">
        <w:t>lower</w:t>
      </w:r>
      <w:proofErr w:type="spellEnd"/>
      <w:r w:rsidRPr="00C520C3">
        <w:t xml:space="preserve"> </w:t>
      </w:r>
      <w:proofErr w:type="spellStart"/>
      <w:r w:rsidRPr="00C520C3">
        <w:t>than</w:t>
      </w:r>
      <w:proofErr w:type="spellEnd"/>
      <w:r w:rsidRPr="00C520C3">
        <w:t xml:space="preserve"> benchmark.”</w:t>
      </w:r>
    </w:p>
    <w:p w14:paraId="71DBBB28" w14:textId="77777777" w:rsidR="00EE37EA" w:rsidRPr="00C520C3" w:rsidRDefault="00EE37EA" w:rsidP="00E1671C">
      <w:pPr>
        <w:numPr>
          <w:ilvl w:val="0"/>
          <w:numId w:val="48"/>
        </w:numPr>
        <w:spacing w:line="259" w:lineRule="auto"/>
      </w:pPr>
      <w:r w:rsidRPr="00C520C3">
        <w:t>Alleen bedrijven die aantoonbaar bijdragen aan klimaattransitie worden toegelaten → thematische ondergrens.</w:t>
      </w:r>
    </w:p>
    <w:p w14:paraId="15A7E1AC" w14:textId="77777777" w:rsidR="00EE37EA" w:rsidRPr="00C520C3" w:rsidRDefault="00EE37EA" w:rsidP="00E1671C">
      <w:pPr>
        <w:numPr>
          <w:ilvl w:val="0"/>
          <w:numId w:val="48"/>
        </w:numPr>
        <w:spacing w:line="259" w:lineRule="auto"/>
      </w:pPr>
      <w:r w:rsidRPr="00C520C3">
        <w:t>Uitsluitingen voor normschenders en hoge ESG-risicobedrijven.</w:t>
      </w:r>
    </w:p>
    <w:p w14:paraId="64894BF0" w14:textId="77777777" w:rsidR="00EE37EA" w:rsidRPr="00C520C3" w:rsidRDefault="00EE37EA" w:rsidP="00EE37EA">
      <w:r w:rsidRPr="00C520C3">
        <w:t xml:space="preserve">Dit zijn voor </w:t>
      </w:r>
      <w:proofErr w:type="spellStart"/>
      <w:r w:rsidRPr="00C520C3">
        <w:t>emerging-marketsfondsen</w:t>
      </w:r>
      <w:proofErr w:type="spellEnd"/>
      <w:r w:rsidRPr="00C520C3">
        <w:t xml:space="preserve"> strenge criteria, omdat veel EM-bedrijven minder transparant rapporteren.</w:t>
      </w:r>
    </w:p>
    <w:p w14:paraId="023328D5" w14:textId="77777777" w:rsidR="00EE37EA" w:rsidRPr="00C520C3" w:rsidRDefault="00EE37EA" w:rsidP="00EE37EA">
      <w:r w:rsidRPr="00C520C3">
        <w:t>Beoordeling:</w:t>
      </w:r>
    </w:p>
    <w:p w14:paraId="7FB22368" w14:textId="77777777" w:rsidR="00EE37EA" w:rsidRPr="00C520C3" w:rsidRDefault="00EE37EA" w:rsidP="00EE37EA">
      <w:r w:rsidRPr="00C520C3">
        <w:t>Score: 8/10 (uitstekende aansluiting op missie, zeer thematische focus)</w:t>
      </w:r>
    </w:p>
    <w:p w14:paraId="7005372E" w14:textId="77777777" w:rsidR="00EE37EA" w:rsidRPr="00C520C3" w:rsidRDefault="00EE37EA" w:rsidP="00EE37EA">
      <w:pPr>
        <w:rPr>
          <w:b/>
          <w:bCs/>
        </w:rPr>
      </w:pPr>
      <w:r w:rsidRPr="00C520C3">
        <w:rPr>
          <w:b/>
          <w:bCs/>
        </w:rPr>
        <w:t>5. Klimaatrisico’s (10%)</w:t>
      </w:r>
    </w:p>
    <w:p w14:paraId="1322CDEF" w14:textId="77777777" w:rsidR="00EE37EA" w:rsidRPr="00C520C3" w:rsidRDefault="00EE37EA" w:rsidP="00EE37EA">
      <w:r w:rsidRPr="00C520C3">
        <w:t>Het fonds communiceert uitgebreid over klimaatrisico’s, zowel op marktniveau als op bedrijfsniveau:</w:t>
      </w:r>
    </w:p>
    <w:p w14:paraId="394304CB" w14:textId="77777777" w:rsidR="00EE37EA" w:rsidRPr="00C520C3" w:rsidRDefault="00EE37EA" w:rsidP="00E1671C">
      <w:pPr>
        <w:numPr>
          <w:ilvl w:val="0"/>
          <w:numId w:val="49"/>
        </w:numPr>
        <w:spacing w:line="259" w:lineRule="auto"/>
      </w:pPr>
      <w:r w:rsidRPr="00C520C3">
        <w:t>→ “De wereldwijde energievraag stijgt explosief door AI en datacenters.”</w:t>
      </w:r>
      <w:r w:rsidRPr="00C520C3">
        <w:br/>
        <w:t>“EM-infrastructuur moet versneld verduurzamen.”</w:t>
      </w:r>
      <w:r w:rsidRPr="00C520C3">
        <w:br/>
        <w:t>(Marktrisico’s)</w:t>
      </w:r>
    </w:p>
    <w:p w14:paraId="5B1BB7B6" w14:textId="77777777" w:rsidR="00EE37EA" w:rsidRPr="00C520C3" w:rsidRDefault="00EE37EA" w:rsidP="00E1671C">
      <w:pPr>
        <w:numPr>
          <w:ilvl w:val="0"/>
          <w:numId w:val="49"/>
        </w:numPr>
        <w:spacing w:line="259" w:lineRule="auto"/>
      </w:pPr>
      <w:r w:rsidRPr="00C520C3">
        <w:t>→ Er wordt actief gerapporteerd over de milieuvoetafdruk (CO₂, water, afval).</w:t>
      </w:r>
    </w:p>
    <w:p w14:paraId="5163A465" w14:textId="77777777" w:rsidR="00EE37EA" w:rsidRPr="00C520C3" w:rsidRDefault="00EE37EA" w:rsidP="00E1671C">
      <w:pPr>
        <w:numPr>
          <w:ilvl w:val="0"/>
          <w:numId w:val="49"/>
        </w:numPr>
        <w:spacing w:line="259" w:lineRule="auto"/>
      </w:pPr>
      <w:r w:rsidRPr="00C520C3">
        <w:t xml:space="preserve">→ De thematische focus zelf (“klimaattransitie”) functioneert als een mitigatie van klimaatrisico’s binnen </w:t>
      </w:r>
      <w:proofErr w:type="spellStart"/>
      <w:r w:rsidRPr="00C520C3">
        <w:t>emerging</w:t>
      </w:r>
      <w:proofErr w:type="spellEnd"/>
      <w:r w:rsidRPr="00C520C3">
        <w:t xml:space="preserve"> </w:t>
      </w:r>
      <w:proofErr w:type="spellStart"/>
      <w:r w:rsidRPr="00C520C3">
        <w:t>markets</w:t>
      </w:r>
      <w:proofErr w:type="spellEnd"/>
      <w:r w:rsidRPr="00C520C3">
        <w:t>.</w:t>
      </w:r>
    </w:p>
    <w:p w14:paraId="76A6AA61" w14:textId="77777777" w:rsidR="00EE37EA" w:rsidRPr="00C520C3" w:rsidRDefault="00EE37EA" w:rsidP="00EE37EA">
      <w:r w:rsidRPr="00C520C3">
        <w:t>De informatie is helder, concreet en biedt inzicht in zowel systemische als portefeuillerisico’s.</w:t>
      </w:r>
    </w:p>
    <w:p w14:paraId="72E33675" w14:textId="77777777" w:rsidR="00EE37EA" w:rsidRPr="00C520C3" w:rsidRDefault="00EE37EA" w:rsidP="00EE37EA">
      <w:r w:rsidRPr="00C520C3">
        <w:t>Beoordeling:</w:t>
      </w:r>
    </w:p>
    <w:p w14:paraId="11AD2403" w14:textId="77777777" w:rsidR="00EE37EA" w:rsidRPr="00C520C3" w:rsidRDefault="00EE37EA" w:rsidP="00EE37EA">
      <w:r w:rsidRPr="00C520C3">
        <w:t>Score: 8/10</w:t>
      </w:r>
    </w:p>
    <w:p w14:paraId="3A4B4428" w14:textId="77777777" w:rsidR="00EE37EA" w:rsidRPr="00C520C3" w:rsidRDefault="00EE37EA" w:rsidP="00EE37EA">
      <w:pPr>
        <w:rPr>
          <w:b/>
          <w:bCs/>
        </w:rPr>
      </w:pPr>
      <w:r w:rsidRPr="00C520C3">
        <w:rPr>
          <w:b/>
          <w:bCs/>
        </w:rPr>
        <w:t>6. Klantcommunicatie (10%)</w:t>
      </w:r>
    </w:p>
    <w:p w14:paraId="74828DCB" w14:textId="77777777" w:rsidR="00EE37EA" w:rsidRPr="00C520C3" w:rsidRDefault="00EE37EA" w:rsidP="00EE37EA">
      <w:r w:rsidRPr="00C520C3">
        <w:t>Robeco communiceert zeer transparant over duurzaamheid:</w:t>
      </w:r>
    </w:p>
    <w:p w14:paraId="4F8687BA" w14:textId="77777777" w:rsidR="00EE37EA" w:rsidRPr="00C520C3" w:rsidRDefault="00EE37EA" w:rsidP="00E1671C">
      <w:pPr>
        <w:numPr>
          <w:ilvl w:val="0"/>
          <w:numId w:val="50"/>
        </w:numPr>
        <w:spacing w:line="259" w:lineRule="auto"/>
      </w:pPr>
      <w:proofErr w:type="spellStart"/>
      <w:r w:rsidRPr="00C520C3">
        <w:t>Factsheet</w:t>
      </w:r>
      <w:proofErr w:type="spellEnd"/>
      <w:r w:rsidRPr="00C520C3">
        <w:t xml:space="preserve"> bevat directe uitleg over topposities, thematische fit, footprint en engagement.</w:t>
      </w:r>
    </w:p>
    <w:p w14:paraId="7711C275" w14:textId="77777777" w:rsidR="00EE37EA" w:rsidRPr="00C520C3" w:rsidRDefault="00EE37EA" w:rsidP="00E1671C">
      <w:pPr>
        <w:numPr>
          <w:ilvl w:val="0"/>
          <w:numId w:val="50"/>
        </w:numPr>
        <w:spacing w:line="259" w:lineRule="auto"/>
      </w:pPr>
      <w:r w:rsidRPr="00C520C3">
        <w:t>PRIIPS-document geeft duidelijke informatie over kosten, risico’s en scenario’s.</w:t>
      </w:r>
    </w:p>
    <w:p w14:paraId="7F5E052D" w14:textId="77777777" w:rsidR="00EE37EA" w:rsidRPr="00C520C3" w:rsidRDefault="00EE37EA" w:rsidP="00E1671C">
      <w:pPr>
        <w:numPr>
          <w:ilvl w:val="0"/>
          <w:numId w:val="50"/>
        </w:numPr>
        <w:spacing w:line="259" w:lineRule="auto"/>
      </w:pPr>
      <w:r w:rsidRPr="00C520C3">
        <w:t>In de documenten worden alle duurzame kenmerken uitgelegd in begrijpelijke taal.</w:t>
      </w:r>
    </w:p>
    <w:p w14:paraId="54F98728" w14:textId="77777777" w:rsidR="00EE37EA" w:rsidRPr="00C520C3" w:rsidRDefault="00EE37EA" w:rsidP="00EE37EA">
      <w:r w:rsidRPr="00C520C3">
        <w:t>Voorbeelden:</w:t>
      </w:r>
    </w:p>
    <w:p w14:paraId="03C2F475" w14:textId="77777777" w:rsidR="00EE37EA" w:rsidRPr="00C520C3" w:rsidRDefault="00EE37EA" w:rsidP="00E1671C">
      <w:pPr>
        <w:numPr>
          <w:ilvl w:val="0"/>
          <w:numId w:val="51"/>
        </w:numPr>
        <w:spacing w:line="259" w:lineRule="auto"/>
      </w:pPr>
      <w:r w:rsidRPr="00C520C3">
        <w:t>→ duidelijke weergave van prestaties per aandeel (bijv. Hyundai Electric)</w:t>
      </w:r>
    </w:p>
    <w:p w14:paraId="6928E7B2" w14:textId="77777777" w:rsidR="00EE37EA" w:rsidRPr="00C520C3" w:rsidRDefault="00EE37EA" w:rsidP="00E1671C">
      <w:pPr>
        <w:numPr>
          <w:ilvl w:val="0"/>
          <w:numId w:val="51"/>
        </w:numPr>
        <w:spacing w:line="259" w:lineRule="auto"/>
      </w:pPr>
      <w:r w:rsidRPr="00C520C3">
        <w:t>→ duidelijke uitleg van de klimaatdoelstellingen</w:t>
      </w:r>
    </w:p>
    <w:p w14:paraId="614D8488" w14:textId="77777777" w:rsidR="00EE37EA" w:rsidRPr="00C520C3" w:rsidRDefault="00EE37EA" w:rsidP="00EE37EA">
      <w:r w:rsidRPr="00C520C3">
        <w:t>Alles is in toegankelijke taal geschreven en voor klanten goed vindbaar.</w:t>
      </w:r>
    </w:p>
    <w:p w14:paraId="75E252AF" w14:textId="77777777" w:rsidR="00EE37EA" w:rsidRPr="00C520C3" w:rsidRDefault="00EE37EA" w:rsidP="00EE37EA">
      <w:r w:rsidRPr="00C520C3">
        <w:t>Beoordeling:</w:t>
      </w:r>
    </w:p>
    <w:p w14:paraId="068AF864" w14:textId="77777777" w:rsidR="00EE37EA" w:rsidRPr="00C520C3" w:rsidRDefault="00EE37EA" w:rsidP="00EE37EA">
      <w:pPr>
        <w:rPr>
          <w:b/>
          <w:bCs/>
        </w:rPr>
      </w:pPr>
      <w:r w:rsidRPr="00C520C3">
        <w:rPr>
          <w:b/>
          <w:bCs/>
        </w:rPr>
        <w:t>Score: 9/10</w:t>
      </w:r>
    </w:p>
    <w:p w14:paraId="1C67CEB3" w14:textId="77777777" w:rsidR="00EE37EA" w:rsidRPr="00C520C3" w:rsidRDefault="00EE37EA" w:rsidP="00EE37EA">
      <w:r w:rsidRPr="00C520C3">
        <w:t>Conclusie: waarom dit fonds past bij onze adviesfilosofie</w:t>
      </w:r>
    </w:p>
    <w:p w14:paraId="55716F9C" w14:textId="77777777" w:rsidR="00EE37EA" w:rsidRPr="00C520C3" w:rsidRDefault="00EE37EA" w:rsidP="00EE37EA">
      <w:r w:rsidRPr="00C520C3">
        <w:t xml:space="preserve">Wij hebben gekozen voor het Robeco </w:t>
      </w:r>
      <w:proofErr w:type="spellStart"/>
      <w:r w:rsidRPr="00C520C3">
        <w:t>Emerging</w:t>
      </w:r>
      <w:proofErr w:type="spellEnd"/>
      <w:r w:rsidRPr="00C520C3">
        <w:t xml:space="preserve"> Markets </w:t>
      </w:r>
      <w:proofErr w:type="spellStart"/>
      <w:r w:rsidRPr="00C520C3">
        <w:t>Climate</w:t>
      </w:r>
      <w:proofErr w:type="spellEnd"/>
      <w:r w:rsidRPr="00C520C3">
        <w:t xml:space="preserve"> </w:t>
      </w:r>
      <w:proofErr w:type="spellStart"/>
      <w:r w:rsidRPr="00C520C3">
        <w:t>Transition</w:t>
      </w:r>
      <w:proofErr w:type="spellEnd"/>
      <w:r w:rsidRPr="00C520C3">
        <w:t xml:space="preserve"> </w:t>
      </w:r>
      <w:proofErr w:type="spellStart"/>
      <w:r w:rsidRPr="00C520C3">
        <w:t>Equities</w:t>
      </w:r>
      <w:proofErr w:type="spellEnd"/>
      <w:r w:rsidRPr="00C520C3">
        <w:t xml:space="preserve"> F EUR fonds omdat het:</w:t>
      </w:r>
    </w:p>
    <w:p w14:paraId="7BD3918E" w14:textId="77777777" w:rsidR="00EE37EA" w:rsidRPr="00C520C3" w:rsidRDefault="00EE37EA" w:rsidP="00E1671C">
      <w:pPr>
        <w:numPr>
          <w:ilvl w:val="0"/>
          <w:numId w:val="58"/>
        </w:numPr>
        <w:spacing w:line="259" w:lineRule="auto"/>
      </w:pPr>
      <w:r w:rsidRPr="00C520C3">
        <w:t>Volledig gericht is op de klimaattransitie, een van de grootste economische trends van deze eeuw;</w:t>
      </w:r>
    </w:p>
    <w:p w14:paraId="7E83E546" w14:textId="77777777" w:rsidR="00EE37EA" w:rsidRPr="00C520C3" w:rsidRDefault="00EE37EA" w:rsidP="00E1671C">
      <w:pPr>
        <w:numPr>
          <w:ilvl w:val="0"/>
          <w:numId w:val="58"/>
        </w:numPr>
        <w:spacing w:line="259" w:lineRule="auto"/>
      </w:pPr>
      <w:r w:rsidRPr="00C520C3">
        <w:t>Strenge duurzaamheidscriteria hanteert, ingebed op fondsniveau;</w:t>
      </w:r>
    </w:p>
    <w:p w14:paraId="24FFB5D4" w14:textId="77777777" w:rsidR="00EE37EA" w:rsidRPr="00C520C3" w:rsidRDefault="00EE37EA" w:rsidP="00E1671C">
      <w:pPr>
        <w:numPr>
          <w:ilvl w:val="0"/>
          <w:numId w:val="58"/>
        </w:numPr>
        <w:spacing w:line="259" w:lineRule="auto"/>
      </w:pPr>
      <w:r w:rsidRPr="00C520C3">
        <w:t>Gebruikmaakt van transparante en overtuigende ESG-integratie;</w:t>
      </w:r>
    </w:p>
    <w:p w14:paraId="00EF4230" w14:textId="77777777" w:rsidR="00EE37EA" w:rsidRPr="00C520C3" w:rsidRDefault="00EE37EA" w:rsidP="00E1671C">
      <w:pPr>
        <w:numPr>
          <w:ilvl w:val="0"/>
          <w:numId w:val="58"/>
        </w:numPr>
        <w:spacing w:line="259" w:lineRule="auto"/>
      </w:pPr>
      <w:r w:rsidRPr="00C520C3">
        <w:t>Actief aandeelhouderschap inzet om bedrijven te verbeteren;</w:t>
      </w:r>
    </w:p>
    <w:p w14:paraId="75CAD971" w14:textId="77777777" w:rsidR="00EE37EA" w:rsidRPr="00C520C3" w:rsidRDefault="00EE37EA" w:rsidP="00E1671C">
      <w:pPr>
        <w:numPr>
          <w:ilvl w:val="0"/>
          <w:numId w:val="58"/>
        </w:numPr>
        <w:spacing w:line="259" w:lineRule="auto"/>
      </w:pPr>
      <w:r w:rsidRPr="00C520C3">
        <w:t>Belegt in opkomende markten waar grote groeikansen liggen;</w:t>
      </w:r>
    </w:p>
    <w:p w14:paraId="0204B220" w14:textId="77777777" w:rsidR="00EE37EA" w:rsidRPr="00C520C3" w:rsidRDefault="00EE37EA" w:rsidP="00E1671C">
      <w:pPr>
        <w:numPr>
          <w:ilvl w:val="0"/>
          <w:numId w:val="58"/>
        </w:numPr>
        <w:spacing w:line="259" w:lineRule="auto"/>
      </w:pPr>
      <w:r w:rsidRPr="00C520C3">
        <w:t>Sterke eerste financiële prestaties laat zien;</w:t>
      </w:r>
    </w:p>
    <w:p w14:paraId="09322E33" w14:textId="77777777" w:rsidR="00EE37EA" w:rsidRPr="00C520C3" w:rsidRDefault="00EE37EA" w:rsidP="00E1671C">
      <w:pPr>
        <w:numPr>
          <w:ilvl w:val="0"/>
          <w:numId w:val="58"/>
        </w:numPr>
        <w:spacing w:line="259" w:lineRule="auto"/>
      </w:pPr>
      <w:r w:rsidRPr="00C520C3">
        <w:t>Beheerd wordt door een internationaal erkende duurzame fondsbeheerder;</w:t>
      </w:r>
    </w:p>
    <w:p w14:paraId="65231353" w14:textId="77777777" w:rsidR="00EE37EA" w:rsidRPr="00C520C3" w:rsidRDefault="00EE37EA" w:rsidP="00E1671C">
      <w:pPr>
        <w:numPr>
          <w:ilvl w:val="0"/>
          <w:numId w:val="58"/>
        </w:numPr>
        <w:spacing w:line="259" w:lineRule="auto"/>
      </w:pPr>
      <w:r w:rsidRPr="00C520C3">
        <w:t>En duidelijk communiceert over zijn strategie, risico’s, kosten en duurzaamheid.</w:t>
      </w:r>
    </w:p>
    <w:p w14:paraId="0DA93BDA" w14:textId="77777777" w:rsidR="00EE37EA" w:rsidRPr="00C520C3" w:rsidRDefault="00EE37EA" w:rsidP="00EE37EA">
      <w:r w:rsidRPr="00C520C3">
        <w:t>Voor onze klanten biedt dit fonds een uitstekende balans tussen impact, groei en verantwoord beleggen.</w:t>
      </w:r>
    </w:p>
    <w:p w14:paraId="3069C32F" w14:textId="77777777" w:rsidR="00EE37EA" w:rsidRPr="00C520C3" w:rsidRDefault="00EE37EA" w:rsidP="00EE37EA">
      <w:pPr>
        <w:rPr>
          <w:b/>
          <w:bCs/>
        </w:rPr>
      </w:pPr>
    </w:p>
    <w:p w14:paraId="6471A343" w14:textId="77777777" w:rsidR="00EE37EA" w:rsidRPr="00C520C3" w:rsidRDefault="00EE37EA" w:rsidP="00EE37EA">
      <w:pPr>
        <w:rPr>
          <w:b/>
          <w:bCs/>
        </w:rPr>
      </w:pPr>
    </w:p>
    <w:p w14:paraId="76911C3A" w14:textId="77777777" w:rsidR="00EE37EA" w:rsidRPr="00C520C3" w:rsidRDefault="00EE37EA" w:rsidP="00EE37EA">
      <w:pPr>
        <w:rPr>
          <w:b/>
          <w:bCs/>
        </w:rPr>
      </w:pPr>
    </w:p>
    <w:p w14:paraId="37F4C393" w14:textId="77777777" w:rsidR="00EE37EA" w:rsidRPr="00C520C3" w:rsidRDefault="4ECF2E88" w:rsidP="00EE37EA">
      <w:pPr>
        <w:pStyle w:val="Heading2"/>
      </w:pPr>
      <w:bookmarkStart w:id="21" w:name="_Toc215578231"/>
      <w:bookmarkStart w:id="22" w:name="_Toc703370465"/>
      <w:r>
        <w:t>Allianz:</w:t>
      </w:r>
      <w:bookmarkEnd w:id="21"/>
      <w:bookmarkEnd w:id="22"/>
    </w:p>
    <w:p w14:paraId="43FFA476" w14:textId="77777777" w:rsidR="00EE37EA" w:rsidRPr="00C520C3" w:rsidRDefault="00EE37EA" w:rsidP="00EE37EA">
      <w:pPr>
        <w:rPr>
          <w:rStyle w:val="Hyperlink"/>
        </w:rPr>
      </w:pPr>
      <w:r w:rsidRPr="00C520C3">
        <w:fldChar w:fldCharType="begin"/>
      </w:r>
      <w:r w:rsidRPr="00C520C3">
        <w:instrText>HYPERLINK "https://nl.allianzgi.com/nl-nl/pro/nl-onze-fondsen/fondsen/list/allianz-climate-transition-europe-at-eur?nav=overview" \o "Climate transition fonds Allianz"</w:instrText>
      </w:r>
      <w:r w:rsidRPr="00C520C3">
        <w:fldChar w:fldCharType="separate"/>
      </w:r>
      <w:r w:rsidRPr="00C520C3">
        <w:rPr>
          <w:rStyle w:val="Hyperlink"/>
        </w:rPr>
        <w:t xml:space="preserve">https://nl.allianzgi.com/nl-nl/pro/nl-onze-fondsen/fondsen/list/allianz-climate-transition-europe-at-eur?nav=overview </w:t>
      </w:r>
    </w:p>
    <w:p w14:paraId="41551656" w14:textId="77777777" w:rsidR="00EE37EA" w:rsidRPr="00C520C3" w:rsidRDefault="00EE37EA" w:rsidP="00EE37EA">
      <w:r w:rsidRPr="00C520C3">
        <w:fldChar w:fldCharType="end"/>
      </w:r>
      <w:hyperlink r:id="rId26" w:history="1">
        <w:proofErr w:type="spellStart"/>
        <w:r w:rsidRPr="00C520C3">
          <w:rPr>
            <w:rStyle w:val="Hyperlink"/>
          </w:rPr>
          <w:t>Factsheet</w:t>
        </w:r>
        <w:proofErr w:type="spellEnd"/>
      </w:hyperlink>
      <w:r w:rsidRPr="00C520C3">
        <w:t xml:space="preserve"> </w:t>
      </w:r>
    </w:p>
    <w:p w14:paraId="7846C86A" w14:textId="77777777" w:rsidR="00EE37EA" w:rsidRPr="00C520C3" w:rsidRDefault="00EE37EA" w:rsidP="00EE37EA">
      <w:hyperlink r:id="rId27" w:history="1">
        <w:r w:rsidRPr="00C520C3">
          <w:rPr>
            <w:rStyle w:val="Hyperlink"/>
          </w:rPr>
          <w:t>Investor Fund</w:t>
        </w:r>
      </w:hyperlink>
      <w:r w:rsidRPr="00C520C3">
        <w:t xml:space="preserve"> </w:t>
      </w:r>
    </w:p>
    <w:p w14:paraId="4E838F48" w14:textId="77777777" w:rsidR="00EE37EA" w:rsidRPr="00C520C3" w:rsidRDefault="00EE37EA" w:rsidP="00EE37EA">
      <w:hyperlink r:id="rId28" w:history="1">
        <w:r w:rsidRPr="00C520C3">
          <w:rPr>
            <w:rStyle w:val="Hyperlink"/>
          </w:rPr>
          <w:t>EID</w:t>
        </w:r>
      </w:hyperlink>
      <w:r w:rsidRPr="00C520C3">
        <w:t xml:space="preserve"> </w:t>
      </w:r>
    </w:p>
    <w:p w14:paraId="281C91E7" w14:textId="77777777" w:rsidR="00EE37EA" w:rsidRPr="00C520C3" w:rsidRDefault="00EE37EA" w:rsidP="00EE37EA">
      <w:r w:rsidRPr="00C520C3">
        <w:t>Als financieel adviesbureau streven wij ernaar beleggingsoplossingen te selecteren die niet alleen bijdragen aan een solide financieel rendement, maar ook aan een duurzame, toekomstbestendige wereld. Onze klanten vragen steeds vaker om beleggingen die een positieve impact hebben op milieu en maatschappij, zonder concessies te doen aan kwaliteit of professionaliteit.</w:t>
      </w:r>
    </w:p>
    <w:p w14:paraId="6B160F1A" w14:textId="77777777" w:rsidR="00EE37EA" w:rsidRPr="00C520C3" w:rsidRDefault="00EE37EA" w:rsidP="00EE37EA">
      <w:r w:rsidRPr="00C520C3">
        <w:t xml:space="preserve">Op basis van de aangeleverde fondsdocumenten, waaronder het Essentiële-informatiedocument (KID), de </w:t>
      </w:r>
      <w:proofErr w:type="spellStart"/>
      <w:r w:rsidRPr="00C520C3">
        <w:t>Factsheet</w:t>
      </w:r>
      <w:proofErr w:type="spellEnd"/>
      <w:r w:rsidRPr="00C520C3">
        <w:t xml:space="preserve"> en het Prospectus, zien wij dat het Allianz </w:t>
      </w:r>
      <w:proofErr w:type="spellStart"/>
      <w:r w:rsidRPr="00C520C3">
        <w:t>Climate</w:t>
      </w:r>
      <w:proofErr w:type="spellEnd"/>
      <w:r w:rsidRPr="00C520C3">
        <w:t xml:space="preserve"> </w:t>
      </w:r>
      <w:proofErr w:type="spellStart"/>
      <w:r w:rsidRPr="00C520C3">
        <w:t>Transition</w:t>
      </w:r>
      <w:proofErr w:type="spellEnd"/>
      <w:r w:rsidRPr="00C520C3">
        <w:t xml:space="preserve"> Europe AT (EUR)-fonds in uitzonderlijke mate aansluit bij deze ambitie. Het fonds biedt een combinatie van een gerichte Europese klimaatinvesteerder, een duidelijke duurzaamheidsstrategie en professioneel actief beheer, wat essentieel is voor klanten die de klimaattransitie in Europa willen ondersteunen.</w:t>
      </w:r>
    </w:p>
    <w:p w14:paraId="484E3D86" w14:textId="77777777" w:rsidR="00EE37EA" w:rsidRPr="00C520C3" w:rsidRDefault="00EE37EA" w:rsidP="00EE37EA">
      <w:r w:rsidRPr="00C520C3">
        <w:t>Hieronder volgt een uitgebreide onderbouwing van onze keuze.</w:t>
      </w:r>
    </w:p>
    <w:p w14:paraId="7C9B18DD" w14:textId="77777777" w:rsidR="00EE37EA" w:rsidRPr="00C520C3" w:rsidRDefault="00EE37EA" w:rsidP="00EE37EA">
      <w:pPr>
        <w:rPr>
          <w:b/>
          <w:bCs/>
        </w:rPr>
      </w:pPr>
      <w:r w:rsidRPr="00C520C3">
        <w:rPr>
          <w:b/>
          <w:bCs/>
        </w:rPr>
        <w:t>1. Het fonds richt zich volledig op de Europese klimaattransitie</w:t>
      </w:r>
    </w:p>
    <w:p w14:paraId="6515D8A9" w14:textId="77777777" w:rsidR="00EE37EA" w:rsidRPr="00C520C3" w:rsidRDefault="00EE37EA" w:rsidP="00EE37EA">
      <w:r w:rsidRPr="00C520C3">
        <w:t>Uit de documentatie blijkt dat het fonds is opgebouwd rondom één centrale doelstelling: investeren in de Europese aandelenmarkten met een sterke nadruk op ondernemingen die zich aanzienlijk bezighouden met de klimaattransitie of de uitdagingen van klimaatverandering beheersen.</w:t>
      </w:r>
    </w:p>
    <w:p w14:paraId="1225A756" w14:textId="77777777" w:rsidR="00EE37EA" w:rsidRPr="00C520C3" w:rsidRDefault="00EE37EA" w:rsidP="00EE37EA">
      <w:r w:rsidRPr="00C520C3">
        <w:t>Het beleggingsdoel van het fonds is kapitaalgroei op de lange termijn te behalen. Door deze focus op de Europese aandelenmarkten richt het fonds zich specifiek op de grote en dringende uitdaging van de klimaattransitie binnen het economische centrum van Europa.</w:t>
      </w:r>
    </w:p>
    <w:p w14:paraId="49913CD9" w14:textId="77777777" w:rsidR="00EE37EA" w:rsidRPr="00C520C3" w:rsidRDefault="00EE37EA" w:rsidP="00EE37EA">
      <w:pPr>
        <w:rPr>
          <w:b/>
          <w:bCs/>
        </w:rPr>
      </w:pPr>
      <w:r w:rsidRPr="00C520C3">
        <w:rPr>
          <w:b/>
          <w:bCs/>
        </w:rPr>
        <w:t>2. Duidelijk en transparant duurzaamheidsbeleid op fondsniveau (SFDR Art. 8)</w:t>
      </w:r>
    </w:p>
    <w:p w14:paraId="63D829EB" w14:textId="77777777" w:rsidR="00EE37EA" w:rsidRPr="00C520C3" w:rsidRDefault="00EE37EA" w:rsidP="00EE37EA">
      <w:r w:rsidRPr="00C520C3">
        <w:t>Het fonds is niet alleen duurzaam is op aanbiedersniveau, maar duurzaamheid is diep verankerd in de beleggingsstrategie van het fonds zelf.</w:t>
      </w:r>
    </w:p>
    <w:p w14:paraId="76CD1B72" w14:textId="77777777" w:rsidR="00EE37EA" w:rsidRPr="00C520C3" w:rsidRDefault="00EE37EA" w:rsidP="00E1671C">
      <w:pPr>
        <w:numPr>
          <w:ilvl w:val="0"/>
          <w:numId w:val="52"/>
        </w:numPr>
        <w:spacing w:line="259" w:lineRule="auto"/>
      </w:pPr>
      <w:r w:rsidRPr="00C520C3">
        <w:rPr>
          <w:b/>
          <w:bCs/>
        </w:rPr>
        <w:t>Promotie van ESG-kenmerken:</w:t>
      </w:r>
      <w:r w:rsidRPr="00C520C3">
        <w:t xml:space="preserve"> Het </w:t>
      </w:r>
      <w:proofErr w:type="spellStart"/>
      <w:r w:rsidRPr="00C520C3">
        <w:t>subfonds</w:t>
      </w:r>
      <w:proofErr w:type="spellEnd"/>
      <w:r w:rsidRPr="00C520C3">
        <w:t xml:space="preserve"> wordt beheerd in overeenstemming met de vereisten van Artikel 8, lid 1, van de EU </w:t>
      </w:r>
      <w:proofErr w:type="spellStart"/>
      <w:r w:rsidRPr="00C520C3">
        <w:t>Sustainable</w:t>
      </w:r>
      <w:proofErr w:type="spellEnd"/>
      <w:r w:rsidRPr="00C520C3">
        <w:t xml:space="preserve"> Finance </w:t>
      </w:r>
      <w:proofErr w:type="spellStart"/>
      <w:r w:rsidRPr="00C520C3">
        <w:t>Disclosure</w:t>
      </w:r>
      <w:proofErr w:type="spellEnd"/>
      <w:r w:rsidRPr="00C520C3">
        <w:t xml:space="preserve"> </w:t>
      </w:r>
      <w:proofErr w:type="spellStart"/>
      <w:r w:rsidRPr="00C520C3">
        <w:t>Regulation</w:t>
      </w:r>
      <w:proofErr w:type="spellEnd"/>
      <w:r w:rsidRPr="00C520C3">
        <w:t xml:space="preserve"> (SFDR). Dit betekent dat het fonds ecologische en/of sociale kenmerken promoot.</w:t>
      </w:r>
    </w:p>
    <w:p w14:paraId="35A2E704" w14:textId="77777777" w:rsidR="00EE37EA" w:rsidRPr="00C520C3" w:rsidRDefault="00EE37EA" w:rsidP="00E1671C">
      <w:pPr>
        <w:numPr>
          <w:ilvl w:val="0"/>
          <w:numId w:val="52"/>
        </w:numPr>
        <w:spacing w:line="259" w:lineRule="auto"/>
      </w:pPr>
      <w:r w:rsidRPr="00C520C3">
        <w:rPr>
          <w:b/>
          <w:bCs/>
        </w:rPr>
        <w:t>EU-Taxonomie:</w:t>
      </w:r>
      <w:r w:rsidRPr="00C520C3">
        <w:t> De beleggingsbeheerder streeft geen beleggingen na in activiteiten gerelateerd aan fossiel gas en/of kernenergie die voldoen aan de EU-Taxonomie.</w:t>
      </w:r>
    </w:p>
    <w:p w14:paraId="45854F02" w14:textId="77777777" w:rsidR="00EE37EA" w:rsidRPr="00C520C3" w:rsidRDefault="00EE37EA" w:rsidP="00E1671C">
      <w:pPr>
        <w:numPr>
          <w:ilvl w:val="0"/>
          <w:numId w:val="52"/>
        </w:numPr>
        <w:spacing w:line="259" w:lineRule="auto"/>
      </w:pPr>
      <w:r w:rsidRPr="00C520C3">
        <w:rPr>
          <w:b/>
          <w:bCs/>
        </w:rPr>
        <w:t>Impact op duurzaamheid:</w:t>
      </w:r>
      <w:r w:rsidRPr="00C520C3">
        <w:t> Het fonds houdt rekening met de belangrijkste nadelige effecten (</w:t>
      </w:r>
      <w:proofErr w:type="spellStart"/>
      <w:r w:rsidRPr="00C520C3">
        <w:t>Principal</w:t>
      </w:r>
      <w:proofErr w:type="spellEnd"/>
      <w:r w:rsidRPr="00C520C3">
        <w:t xml:space="preserve"> Adverse Impacts - PAI) op duurzaamheidsfactoren.</w:t>
      </w:r>
    </w:p>
    <w:p w14:paraId="2634CF4D" w14:textId="77777777" w:rsidR="00EE37EA" w:rsidRPr="00C520C3" w:rsidRDefault="00EE37EA" w:rsidP="00EE37EA">
      <w:pPr>
        <w:rPr>
          <w:b/>
          <w:bCs/>
        </w:rPr>
      </w:pPr>
      <w:r w:rsidRPr="00C520C3">
        <w:rPr>
          <w:b/>
          <w:bCs/>
        </w:rPr>
        <w:t>3. Actief beheer en professionaliteit</w:t>
      </w:r>
    </w:p>
    <w:p w14:paraId="53019310" w14:textId="77777777" w:rsidR="00EE37EA" w:rsidRPr="00C520C3" w:rsidRDefault="00EE37EA" w:rsidP="00EE37EA">
      <w:r w:rsidRPr="00C520C3">
        <w:t>Het fonds maakt gebruik van een actieve beleggingsstrategie, wat cruciaal is om in te spelen op de dynamische aard van de Europese klimaattransitie.</w:t>
      </w:r>
    </w:p>
    <w:p w14:paraId="7E73C1B2" w14:textId="77777777" w:rsidR="00EE37EA" w:rsidRPr="00C520C3" w:rsidRDefault="00EE37EA" w:rsidP="00E1671C">
      <w:pPr>
        <w:numPr>
          <w:ilvl w:val="0"/>
          <w:numId w:val="53"/>
        </w:numPr>
        <w:spacing w:line="259" w:lineRule="auto"/>
      </w:pPr>
      <w:r w:rsidRPr="00C520C3">
        <w:rPr>
          <w:b/>
          <w:bCs/>
        </w:rPr>
        <w:t>Actief beheer:</w:t>
      </w:r>
      <w:r w:rsidRPr="00C520C3">
        <w:t> Het fonds is actief beheerd. Dit houdt in dat de beheerder actief de aandelen selecteert die in de portefeuille worden opgenomen.</w:t>
      </w:r>
    </w:p>
    <w:p w14:paraId="39DAD7A7" w14:textId="77777777" w:rsidR="00EE37EA" w:rsidRPr="00C520C3" w:rsidRDefault="00EE37EA" w:rsidP="00E1671C">
      <w:pPr>
        <w:numPr>
          <w:ilvl w:val="0"/>
          <w:numId w:val="53"/>
        </w:numPr>
        <w:spacing w:line="259" w:lineRule="auto"/>
      </w:pPr>
      <w:r w:rsidRPr="00C520C3">
        <w:rPr>
          <w:b/>
          <w:bCs/>
        </w:rPr>
        <w:t>Benchmark:</w:t>
      </w:r>
      <w:r w:rsidRPr="00C520C3">
        <w:t> De prestaties van het fonds worden vergeleken met de MSCI Europe Total Return Net (in EUR) benchmark.</w:t>
      </w:r>
    </w:p>
    <w:p w14:paraId="1B90039A" w14:textId="77777777" w:rsidR="00EE37EA" w:rsidRPr="00C520C3" w:rsidRDefault="00EE37EA" w:rsidP="00E1671C">
      <w:pPr>
        <w:numPr>
          <w:ilvl w:val="0"/>
          <w:numId w:val="53"/>
        </w:numPr>
        <w:spacing w:line="259" w:lineRule="auto"/>
      </w:pPr>
      <w:r w:rsidRPr="00C520C3">
        <w:rPr>
          <w:b/>
          <w:bCs/>
        </w:rPr>
        <w:t>Risicoprofiel:</w:t>
      </w:r>
      <w:r w:rsidRPr="00C520C3">
        <w:t> Het fonds valt in risicocategorie 5 van 7, wat wijst op een hoger risiconiveau dat past bij de kansen op kapitaalgroei in de aandelenmarkt.</w:t>
      </w:r>
    </w:p>
    <w:p w14:paraId="7EE6EDED" w14:textId="77777777" w:rsidR="00EE37EA" w:rsidRPr="00C520C3" w:rsidRDefault="00EE37EA" w:rsidP="00E1671C">
      <w:pPr>
        <w:numPr>
          <w:ilvl w:val="0"/>
          <w:numId w:val="53"/>
        </w:numPr>
        <w:spacing w:line="259" w:lineRule="auto"/>
      </w:pPr>
      <w:r w:rsidRPr="00C520C3">
        <w:rPr>
          <w:b/>
          <w:bCs/>
        </w:rPr>
        <w:t>Betrouwbaar beheer:</w:t>
      </w:r>
      <w:r w:rsidRPr="00C520C3">
        <w:t xml:space="preserve"> Het fonds wordt beheerd door Allianz Global </w:t>
      </w:r>
      <w:proofErr w:type="spellStart"/>
      <w:r w:rsidRPr="00C520C3">
        <w:t>Investors</w:t>
      </w:r>
      <w:proofErr w:type="spellEnd"/>
      <w:r w:rsidRPr="00C520C3">
        <w:t xml:space="preserve"> GmbH, Frankrijk </w:t>
      </w:r>
      <w:proofErr w:type="spellStart"/>
      <w:r w:rsidRPr="00C520C3">
        <w:t>Branch</w:t>
      </w:r>
      <w:proofErr w:type="spellEnd"/>
      <w:r w:rsidRPr="00C520C3">
        <w:t xml:space="preserve"> (Investment Manager) en de Management Company is Allianz Global </w:t>
      </w:r>
      <w:proofErr w:type="spellStart"/>
      <w:r w:rsidRPr="00C520C3">
        <w:t>Investors</w:t>
      </w:r>
      <w:proofErr w:type="spellEnd"/>
      <w:r w:rsidRPr="00C520C3">
        <w:t xml:space="preserve"> GmbH. Het staat onder toezicht van de </w:t>
      </w:r>
      <w:proofErr w:type="spellStart"/>
      <w:r w:rsidRPr="00C520C3">
        <w:t>Commission</w:t>
      </w:r>
      <w:proofErr w:type="spellEnd"/>
      <w:r w:rsidRPr="00C520C3">
        <w:t xml:space="preserve"> de Surveillance du </w:t>
      </w:r>
      <w:proofErr w:type="spellStart"/>
      <w:r w:rsidRPr="00C520C3">
        <w:t>Secteur</w:t>
      </w:r>
      <w:proofErr w:type="spellEnd"/>
      <w:r w:rsidRPr="00C520C3">
        <w:t xml:space="preserve"> Financier in Luxemburg.</w:t>
      </w:r>
    </w:p>
    <w:p w14:paraId="7C42AC22" w14:textId="77777777" w:rsidR="00EE37EA" w:rsidRPr="00C520C3" w:rsidRDefault="00EE37EA" w:rsidP="00EE37EA">
      <w:pPr>
        <w:rPr>
          <w:b/>
          <w:bCs/>
        </w:rPr>
      </w:pPr>
      <w:r w:rsidRPr="00C520C3">
        <w:rPr>
          <w:b/>
          <w:bCs/>
        </w:rPr>
        <w:t>4. Bewezen historiek en structuur</w:t>
      </w:r>
    </w:p>
    <w:p w14:paraId="24D28B1D" w14:textId="77777777" w:rsidR="00EE37EA" w:rsidRPr="00C520C3" w:rsidRDefault="00EE37EA" w:rsidP="00EE37EA">
      <w:r w:rsidRPr="00C520C3">
        <w:t xml:space="preserve">Het fonds is geen nieuw product, maar een </w:t>
      </w:r>
      <w:proofErr w:type="spellStart"/>
      <w:r w:rsidRPr="00C520C3">
        <w:t>subfonds</w:t>
      </w:r>
      <w:proofErr w:type="spellEnd"/>
      <w:r w:rsidRPr="00C520C3">
        <w:t xml:space="preserve"> met een gevestigde geschiedenis en een duidelijk juridisch kader.</w:t>
      </w:r>
    </w:p>
    <w:p w14:paraId="3C2FADA1" w14:textId="77777777" w:rsidR="00EE37EA" w:rsidRPr="00C520C3" w:rsidRDefault="00EE37EA" w:rsidP="00E1671C">
      <w:pPr>
        <w:numPr>
          <w:ilvl w:val="0"/>
          <w:numId w:val="54"/>
        </w:numPr>
        <w:spacing w:line="259" w:lineRule="auto"/>
      </w:pPr>
      <w:r w:rsidRPr="00C520C3">
        <w:rPr>
          <w:b/>
          <w:bCs/>
        </w:rPr>
        <w:t>Startdatum:</w:t>
      </w:r>
      <w:r w:rsidRPr="00C520C3">
        <w:t> Het fonds is opgericht op 19 februari 2019.</w:t>
      </w:r>
    </w:p>
    <w:p w14:paraId="0C24C804" w14:textId="77777777" w:rsidR="00EE37EA" w:rsidRPr="00C520C3" w:rsidRDefault="00EE37EA" w:rsidP="00E1671C">
      <w:pPr>
        <w:numPr>
          <w:ilvl w:val="0"/>
          <w:numId w:val="54"/>
        </w:numPr>
        <w:spacing w:line="259" w:lineRule="auto"/>
      </w:pPr>
      <w:r w:rsidRPr="00C520C3">
        <w:rPr>
          <w:b/>
          <w:bCs/>
        </w:rPr>
        <w:t>Juridische Vorm:</w:t>
      </w:r>
      <w:r w:rsidRPr="00C520C3">
        <w:t xml:space="preserve"> Het </w:t>
      </w:r>
      <w:proofErr w:type="spellStart"/>
      <w:r w:rsidRPr="00C520C3">
        <w:t>Subfonds</w:t>
      </w:r>
      <w:proofErr w:type="spellEnd"/>
      <w:r w:rsidRPr="00C520C3">
        <w:t xml:space="preserve"> is een ICBE (Instelling voor Collectieve Belegging in Effecten) onder de Europese Richtlijn 2009/65/EG en is een </w:t>
      </w:r>
      <w:proofErr w:type="spellStart"/>
      <w:r w:rsidRPr="00C520C3">
        <w:t>subfonds</w:t>
      </w:r>
      <w:proofErr w:type="spellEnd"/>
      <w:r w:rsidRPr="00C520C3">
        <w:t xml:space="preserve"> van Allianz Global </w:t>
      </w:r>
      <w:proofErr w:type="spellStart"/>
      <w:r w:rsidRPr="00C520C3">
        <w:t>Investors</w:t>
      </w:r>
      <w:proofErr w:type="spellEnd"/>
      <w:r w:rsidRPr="00C520C3">
        <w:t xml:space="preserve"> Fund, een in Luxemburg gevestigde SICAV.</w:t>
      </w:r>
    </w:p>
    <w:p w14:paraId="7A1A02B6" w14:textId="77777777" w:rsidR="00EE37EA" w:rsidRPr="00C520C3" w:rsidRDefault="00EE37EA" w:rsidP="00E1671C">
      <w:pPr>
        <w:numPr>
          <w:ilvl w:val="0"/>
          <w:numId w:val="54"/>
        </w:numPr>
        <w:spacing w:line="259" w:lineRule="auto"/>
      </w:pPr>
      <w:r w:rsidRPr="00C520C3">
        <w:rPr>
          <w:b/>
          <w:bCs/>
        </w:rPr>
        <w:t>Focus op het Beleggingsdoel:</w:t>
      </w:r>
      <w:r w:rsidRPr="00C520C3">
        <w:t> De beleggingsstrategie en structuur zijn erop gericht om, ondanks het hogere risico (5/7), het doel van kapitaalgroei op de lange termijn te bereiken door middel van de klimaattransitie-focus.</w:t>
      </w:r>
    </w:p>
    <w:p w14:paraId="52E70856" w14:textId="77777777" w:rsidR="00EE37EA" w:rsidRPr="00C520C3" w:rsidRDefault="00EE37EA" w:rsidP="00EE37EA"/>
    <w:p w14:paraId="0437ADC7" w14:textId="77777777" w:rsidR="00EE37EA" w:rsidRPr="00C520C3" w:rsidRDefault="00EE37EA" w:rsidP="00EE37EA">
      <w:r w:rsidRPr="00C520C3">
        <w:rPr>
          <w:b/>
          <w:bCs/>
        </w:rPr>
        <w:t>Conclusie: waarom dit fonds past bij onze adviesfilosofie</w:t>
      </w:r>
    </w:p>
    <w:p w14:paraId="6712594C" w14:textId="77777777" w:rsidR="00EE37EA" w:rsidRPr="00C520C3" w:rsidRDefault="00EE37EA" w:rsidP="00EE37EA">
      <w:r w:rsidRPr="00C520C3">
        <w:t>Wij hebben gekozen voor het </w:t>
      </w:r>
      <w:r w:rsidRPr="00C520C3">
        <w:rPr>
          <w:b/>
          <w:bCs/>
        </w:rPr>
        <w:t xml:space="preserve">Allianz </w:t>
      </w:r>
      <w:proofErr w:type="spellStart"/>
      <w:r w:rsidRPr="00C520C3">
        <w:rPr>
          <w:b/>
          <w:bCs/>
        </w:rPr>
        <w:t>Climate</w:t>
      </w:r>
      <w:proofErr w:type="spellEnd"/>
      <w:r w:rsidRPr="00C520C3">
        <w:rPr>
          <w:b/>
          <w:bCs/>
        </w:rPr>
        <w:t xml:space="preserve"> </w:t>
      </w:r>
      <w:proofErr w:type="spellStart"/>
      <w:r w:rsidRPr="00C520C3">
        <w:rPr>
          <w:b/>
          <w:bCs/>
        </w:rPr>
        <w:t>Transition</w:t>
      </w:r>
      <w:proofErr w:type="spellEnd"/>
      <w:r w:rsidRPr="00C520C3">
        <w:rPr>
          <w:b/>
          <w:bCs/>
        </w:rPr>
        <w:t xml:space="preserve"> Europe AT (EUR)</w:t>
      </w:r>
      <w:r w:rsidRPr="00C520C3">
        <w:t>-fonds omdat het:</w:t>
      </w:r>
    </w:p>
    <w:p w14:paraId="45F8A6AE" w14:textId="77777777" w:rsidR="00EE37EA" w:rsidRPr="00C520C3" w:rsidRDefault="00EE37EA" w:rsidP="00E1671C">
      <w:pPr>
        <w:numPr>
          <w:ilvl w:val="0"/>
          <w:numId w:val="55"/>
        </w:numPr>
        <w:spacing w:line="259" w:lineRule="auto"/>
      </w:pPr>
      <w:r w:rsidRPr="00C520C3">
        <w:t>Volledig gericht is op de klimaattransitie binnen de Europese aandelenmarkten, een cruciaal thema voor de komende decennia;</w:t>
      </w:r>
    </w:p>
    <w:p w14:paraId="6F1F3487" w14:textId="77777777" w:rsidR="00EE37EA" w:rsidRPr="00C520C3" w:rsidRDefault="00EE37EA" w:rsidP="00E1671C">
      <w:pPr>
        <w:numPr>
          <w:ilvl w:val="0"/>
          <w:numId w:val="55"/>
        </w:numPr>
        <w:spacing w:line="259" w:lineRule="auto"/>
      </w:pPr>
      <w:r w:rsidRPr="00C520C3">
        <w:t>Een duidelijke duurzaamheidsfocus heeft door het promoten van ecologische en/of sociale kenmerken (Art. 8 SFDR);</w:t>
      </w:r>
    </w:p>
    <w:p w14:paraId="1B2F1EA6" w14:textId="77777777" w:rsidR="00EE37EA" w:rsidRPr="00C520C3" w:rsidRDefault="00EE37EA" w:rsidP="00E1671C">
      <w:pPr>
        <w:numPr>
          <w:ilvl w:val="0"/>
          <w:numId w:val="55"/>
        </w:numPr>
        <w:spacing w:line="259" w:lineRule="auto"/>
      </w:pPr>
      <w:r w:rsidRPr="00C520C3">
        <w:t>Actief wordt beheerd, wat nodig is om in te spelen op de verschuivingen in de markt door de klimaatverandering;</w:t>
      </w:r>
    </w:p>
    <w:p w14:paraId="79B786AA" w14:textId="77777777" w:rsidR="00EE37EA" w:rsidRPr="00C520C3" w:rsidRDefault="00EE37EA" w:rsidP="00E1671C">
      <w:pPr>
        <w:numPr>
          <w:ilvl w:val="0"/>
          <w:numId w:val="55"/>
        </w:numPr>
        <w:spacing w:line="259" w:lineRule="auto"/>
      </w:pPr>
      <w:r w:rsidRPr="00C520C3">
        <w:t xml:space="preserve">Beheerd wordt door een internationaal erkende partij, Allianz Global </w:t>
      </w:r>
      <w:proofErr w:type="spellStart"/>
      <w:r w:rsidRPr="00C520C3">
        <w:t>Investors</w:t>
      </w:r>
      <w:proofErr w:type="spellEnd"/>
      <w:r w:rsidRPr="00C520C3">
        <w:t xml:space="preserve"> GmbH;</w:t>
      </w:r>
    </w:p>
    <w:p w14:paraId="10B62916" w14:textId="77777777" w:rsidR="00EE37EA" w:rsidRPr="00C520C3" w:rsidRDefault="00EE37EA" w:rsidP="00E1671C">
      <w:pPr>
        <w:numPr>
          <w:ilvl w:val="0"/>
          <w:numId w:val="55"/>
        </w:numPr>
        <w:spacing w:line="259" w:lineRule="auto"/>
      </w:pPr>
      <w:r w:rsidRPr="00C520C3">
        <w:t>Een gevestigde historiek heeft sinds 2019, waardoor het geen nieuw, onbeproefd product is.</w:t>
      </w:r>
    </w:p>
    <w:p w14:paraId="3752F840" w14:textId="77777777" w:rsidR="00EE37EA" w:rsidRPr="00C520C3" w:rsidRDefault="00EE37EA" w:rsidP="00EE37EA">
      <w:r w:rsidRPr="00C520C3">
        <w:t>Voor onze klanten biedt dit fonds een uitstekende balans tussen impact, kansen op de Europese groeimarkt en verantwoord beleggen onder professioneel toezicht.</w:t>
      </w:r>
    </w:p>
    <w:p w14:paraId="050A7F21" w14:textId="77777777" w:rsidR="00EE37EA" w:rsidRPr="00C520C3" w:rsidRDefault="00EE37EA" w:rsidP="00EE37EA">
      <w:pPr>
        <w:rPr>
          <w:b/>
          <w:bCs/>
        </w:rPr>
      </w:pPr>
      <w:r w:rsidRPr="00C520C3">
        <w:rPr>
          <w:b/>
          <w:bCs/>
        </w:rPr>
        <w:t>1. Communicatiebeleggingsstrategie (10%)</w:t>
      </w:r>
    </w:p>
    <w:p w14:paraId="7EBBBA39" w14:textId="77777777" w:rsidR="00EE37EA" w:rsidRPr="00C520C3" w:rsidRDefault="00EE37EA" w:rsidP="00EE37EA">
      <w:r w:rsidRPr="00C520C3">
        <w:t xml:space="preserve">Het fonds communiceert op heldere wijze hoe de portefeuilleverantwoordelijken te werk gaan bij het selecteren van aandelen. De strategie is gebaseerd op </w:t>
      </w:r>
      <w:r w:rsidRPr="00C520C3">
        <w:rPr>
          <w:b/>
          <w:bCs/>
        </w:rPr>
        <w:t>actief beheer</w:t>
      </w:r>
      <w:r w:rsidRPr="00C520C3">
        <w:t>, waarbij de fondsbeheerders systematisch zoeken naar Europese ondernemingen die bijdragen aan of profiteren van de klimaattransitie.</w:t>
      </w:r>
    </w:p>
    <w:p w14:paraId="02E4277A" w14:textId="77777777" w:rsidR="00EE37EA" w:rsidRPr="00C520C3" w:rsidRDefault="00EE37EA" w:rsidP="00EE37EA">
      <w:r w:rsidRPr="00C520C3">
        <w:t xml:space="preserve">In zowel de </w:t>
      </w:r>
      <w:proofErr w:type="spellStart"/>
      <w:r w:rsidRPr="00C520C3">
        <w:t>Factsheet</w:t>
      </w:r>
      <w:proofErr w:type="spellEnd"/>
      <w:r w:rsidRPr="00C520C3">
        <w:t xml:space="preserve"> als het Essentiële-informatiedocument (KID) wordt duidelijk toegelicht:</w:t>
      </w:r>
    </w:p>
    <w:p w14:paraId="05CB3616" w14:textId="77777777" w:rsidR="00EE37EA" w:rsidRPr="00C520C3" w:rsidRDefault="00EE37EA" w:rsidP="00E1671C">
      <w:pPr>
        <w:numPr>
          <w:ilvl w:val="0"/>
          <w:numId w:val="59"/>
        </w:numPr>
        <w:spacing w:line="259" w:lineRule="auto"/>
        <w:rPr>
          <w:b/>
          <w:bCs/>
        </w:rPr>
      </w:pPr>
      <w:r w:rsidRPr="00C520C3">
        <w:rPr>
          <w:b/>
          <w:bCs/>
        </w:rPr>
        <w:t xml:space="preserve">Selectiecriteria: bedrijven worden geselecteerd op hun betrokkenheid bij klimaatoplossingen, hun transitiestrategieën, en hun vermogen om </w:t>
      </w:r>
      <w:proofErr w:type="spellStart"/>
      <w:r w:rsidRPr="00C520C3">
        <w:rPr>
          <w:b/>
          <w:bCs/>
        </w:rPr>
        <w:t>klimaatgerelateerde</w:t>
      </w:r>
      <w:proofErr w:type="spellEnd"/>
      <w:r w:rsidRPr="00C520C3">
        <w:rPr>
          <w:b/>
          <w:bCs/>
        </w:rPr>
        <w:t xml:space="preserve"> risico’s te beheersen.</w:t>
      </w:r>
    </w:p>
    <w:p w14:paraId="5FE69766" w14:textId="77777777" w:rsidR="00EE37EA" w:rsidRPr="00C520C3" w:rsidRDefault="00EE37EA" w:rsidP="00E1671C">
      <w:pPr>
        <w:numPr>
          <w:ilvl w:val="0"/>
          <w:numId w:val="59"/>
        </w:numPr>
        <w:spacing w:line="259" w:lineRule="auto"/>
      </w:pPr>
      <w:r w:rsidRPr="00C520C3">
        <w:rPr>
          <w:b/>
          <w:bCs/>
        </w:rPr>
        <w:t>Verkoopbeslissingen: posities worden afgestoten wanneer de duurzaamheidskenmerken verslechteren, risico’s toenemen of wanneer de beleggingscase verandert</w:t>
      </w:r>
      <w:r w:rsidRPr="00C520C3">
        <w:t>.</w:t>
      </w:r>
    </w:p>
    <w:p w14:paraId="2C4B17BC" w14:textId="77777777" w:rsidR="00EE37EA" w:rsidRPr="00C520C3" w:rsidRDefault="00EE37EA" w:rsidP="00E1671C">
      <w:pPr>
        <w:numPr>
          <w:ilvl w:val="0"/>
          <w:numId w:val="59"/>
        </w:numPr>
        <w:spacing w:line="259" w:lineRule="auto"/>
      </w:pPr>
      <w:r w:rsidRPr="00C520C3">
        <w:t xml:space="preserve">Regelmatige rapportages (zoals de </w:t>
      </w:r>
      <w:proofErr w:type="spellStart"/>
      <w:r w:rsidRPr="00C520C3">
        <w:t>Factsheet</w:t>
      </w:r>
      <w:proofErr w:type="spellEnd"/>
      <w:r w:rsidRPr="00C520C3">
        <w:t>) geven bovendien inzicht in sectorwegingen en voorbeelden van bedrijven die recent zijn toegevoegd of afgebouwd.</w:t>
      </w:r>
    </w:p>
    <w:p w14:paraId="57DA633C" w14:textId="77777777" w:rsidR="00EE37EA" w:rsidRPr="00C520C3" w:rsidRDefault="00EE37EA" w:rsidP="00EE37EA">
      <w:r w:rsidRPr="00C520C3">
        <w:t>De communicatie richting klanten is transparant en begrijpelijk, maar blijft kort en feitelijk. Het fonds biedt voldoende informatie over de achterliggende keuzes, al is de toelichting op individuele transacties iets minder gedetailleerd dan sommige best-in-class fondsen.</w:t>
      </w:r>
    </w:p>
    <w:p w14:paraId="701DC9C3" w14:textId="77777777" w:rsidR="00EE37EA" w:rsidRPr="00C520C3" w:rsidRDefault="00EE37EA" w:rsidP="00EE37EA"/>
    <w:p w14:paraId="41D23D4B" w14:textId="77777777" w:rsidR="00EE37EA" w:rsidRPr="00C520C3" w:rsidRDefault="00EE37EA" w:rsidP="00EE37EA">
      <w:pPr>
        <w:rPr>
          <w:b/>
          <w:bCs/>
        </w:rPr>
      </w:pPr>
      <w:r w:rsidRPr="00C520C3">
        <w:rPr>
          <w:b/>
          <w:bCs/>
        </w:rPr>
        <w:t>2. Historische risico/rendementsverhouding (25%)</w:t>
      </w:r>
    </w:p>
    <w:p w14:paraId="39863F09" w14:textId="77777777" w:rsidR="00EE37EA" w:rsidRPr="00C520C3" w:rsidRDefault="00EE37EA" w:rsidP="00EE37EA">
      <w:r w:rsidRPr="00C520C3">
        <w:t xml:space="preserve">Het Allianz </w:t>
      </w:r>
      <w:proofErr w:type="spellStart"/>
      <w:r w:rsidRPr="00C520C3">
        <w:t>Climate</w:t>
      </w:r>
      <w:proofErr w:type="spellEnd"/>
      <w:r w:rsidRPr="00C520C3">
        <w:t xml:space="preserve"> </w:t>
      </w:r>
      <w:proofErr w:type="spellStart"/>
      <w:r w:rsidRPr="00C520C3">
        <w:t>Transition</w:t>
      </w:r>
      <w:proofErr w:type="spellEnd"/>
      <w:r w:rsidRPr="00C520C3">
        <w:t xml:space="preserve"> Europe-fonds toont een duidelijke historische track record sinds de oprichting in 2019. De volatiele aard van Europese aandelenmarkten gecombineerd met de thematische focus (klimaattransitie) resulteert in een risicocategorie 5 van 7.</w:t>
      </w:r>
    </w:p>
    <w:p w14:paraId="6E2D1F79" w14:textId="77777777" w:rsidR="00EE37EA" w:rsidRPr="00C520C3" w:rsidRDefault="00EE37EA" w:rsidP="00EE37EA">
      <w:r w:rsidRPr="00C520C3">
        <w:t>Belangrijk is dat de risico/rendementsverhouding competitief is binnen de categorie Europese thematische aandelenfondsen:</w:t>
      </w:r>
    </w:p>
    <w:p w14:paraId="541D51AD" w14:textId="77777777" w:rsidR="00EE37EA" w:rsidRPr="00C520C3" w:rsidRDefault="00EE37EA" w:rsidP="00E1671C">
      <w:pPr>
        <w:numPr>
          <w:ilvl w:val="0"/>
          <w:numId w:val="60"/>
        </w:numPr>
        <w:spacing w:line="259" w:lineRule="auto"/>
      </w:pPr>
      <w:r w:rsidRPr="00C520C3">
        <w:t>De klimaattransitiebedrijven waarin wordt belegd bevinden zich vaak in innovatieve sectoren, wat een hoger risico maar ook aantrekkelijk groeipotentieel oplevert.</w:t>
      </w:r>
    </w:p>
    <w:p w14:paraId="03D34945" w14:textId="77777777" w:rsidR="00EE37EA" w:rsidRPr="00C520C3" w:rsidRDefault="00EE37EA" w:rsidP="00E1671C">
      <w:pPr>
        <w:numPr>
          <w:ilvl w:val="0"/>
          <w:numId w:val="60"/>
        </w:numPr>
        <w:spacing w:line="259" w:lineRule="auto"/>
      </w:pPr>
      <w:r w:rsidRPr="00C520C3">
        <w:t>De benchmark (MSCI Europe TR Net) zorgt voor een duidelijk vergelijkingskader.</w:t>
      </w:r>
    </w:p>
    <w:p w14:paraId="5BAE935D" w14:textId="77777777" w:rsidR="00EE37EA" w:rsidRPr="00C520C3" w:rsidRDefault="00EE37EA" w:rsidP="00EE37EA">
      <w:r w:rsidRPr="00C520C3">
        <w:t xml:space="preserve">Hoewel sommige brede Europese aandelenfondsen een gunstigere </w:t>
      </w:r>
      <w:proofErr w:type="spellStart"/>
      <w:r w:rsidRPr="00C520C3">
        <w:t>Sharpe</w:t>
      </w:r>
      <w:proofErr w:type="spellEnd"/>
      <w:r w:rsidRPr="00C520C3">
        <w:t>-ratio laten zien door bredere spreiding, onderscheidt dit fonds zich door doelgerichte exposure naar de energietransitie. Voor klanten die klimaatimpact nastreven, biedt het fonds een goede balans tussen risico en potentieel extra rendement.</w:t>
      </w:r>
    </w:p>
    <w:p w14:paraId="53583292" w14:textId="77777777" w:rsidR="00EE37EA" w:rsidRPr="00C520C3" w:rsidRDefault="00EE37EA" w:rsidP="00EE37EA"/>
    <w:p w14:paraId="7998F86E" w14:textId="77777777" w:rsidR="00EE37EA" w:rsidRPr="00C520C3" w:rsidRDefault="00EE37EA" w:rsidP="00EE37EA">
      <w:pPr>
        <w:rPr>
          <w:b/>
          <w:bCs/>
        </w:rPr>
      </w:pPr>
      <w:r w:rsidRPr="00C520C3">
        <w:rPr>
          <w:b/>
          <w:bCs/>
        </w:rPr>
        <w:t>3. Kosten (15%)</w:t>
      </w:r>
    </w:p>
    <w:p w14:paraId="7C7F9BA7" w14:textId="77777777" w:rsidR="00EE37EA" w:rsidRPr="00C520C3" w:rsidRDefault="00EE37EA" w:rsidP="00EE37EA">
      <w:r w:rsidRPr="00C520C3">
        <w:t>Het fonds rekent kosten die marktconform zijn binnen de categorie actief beheerde thematische fondsen. De lopende kosten liggen doorgaans hoger dan bij passieve ESG-</w:t>
      </w:r>
      <w:proofErr w:type="spellStart"/>
      <w:r w:rsidRPr="00C520C3">
        <w:t>ETF’s</w:t>
      </w:r>
      <w:proofErr w:type="spellEnd"/>
      <w:r w:rsidRPr="00C520C3">
        <w:t>, maar dat is logisch gezien het actieve beheer en de diepgaande analyse van transitiebedrijven.</w:t>
      </w:r>
    </w:p>
    <w:p w14:paraId="46835412" w14:textId="77777777" w:rsidR="00EE37EA" w:rsidRPr="00C520C3" w:rsidRDefault="00EE37EA" w:rsidP="00EE37EA">
      <w:r w:rsidRPr="00C520C3">
        <w:t>Relatief gezien:</w:t>
      </w:r>
    </w:p>
    <w:p w14:paraId="373D20DD" w14:textId="77777777" w:rsidR="00EE37EA" w:rsidRPr="00C520C3" w:rsidRDefault="00EE37EA" w:rsidP="00E1671C">
      <w:pPr>
        <w:numPr>
          <w:ilvl w:val="0"/>
          <w:numId w:val="61"/>
        </w:numPr>
        <w:spacing w:line="259" w:lineRule="auto"/>
      </w:pPr>
      <w:r w:rsidRPr="00C520C3">
        <w:t>Actieve fondsen binnen klimaat-/impactthema’s rekenen vaak vergelijkbare of hogere kosten.</w:t>
      </w:r>
    </w:p>
    <w:p w14:paraId="3F228E75" w14:textId="77777777" w:rsidR="00EE37EA" w:rsidRPr="00C520C3" w:rsidRDefault="00EE37EA" w:rsidP="00E1671C">
      <w:pPr>
        <w:numPr>
          <w:ilvl w:val="0"/>
          <w:numId w:val="61"/>
        </w:numPr>
        <w:spacing w:line="259" w:lineRule="auto"/>
      </w:pPr>
      <w:r w:rsidRPr="00C520C3">
        <w:t>Het kostenniveau is lager dan dat van niche-impactfondsen of gespecialiseerde thematische strategieën.</w:t>
      </w:r>
    </w:p>
    <w:p w14:paraId="2BC005FB" w14:textId="77777777" w:rsidR="00EE37EA" w:rsidRPr="00C520C3" w:rsidRDefault="00EE37EA" w:rsidP="00EE37EA">
      <w:r w:rsidRPr="00C520C3">
        <w:t xml:space="preserve">Geconcludeerd kan worden dat de kosten </w:t>
      </w:r>
      <w:r w:rsidRPr="00C520C3">
        <w:rPr>
          <w:b/>
          <w:bCs/>
        </w:rPr>
        <w:t>redelijk tot licht bovengemiddeld</w:t>
      </w:r>
      <w:r w:rsidRPr="00C520C3">
        <w:t>, maar goed verdedigbaar zijn gezien de actieve aanpak en de gespecialiseerde expertise van Allianz GI.</w:t>
      </w:r>
    </w:p>
    <w:p w14:paraId="00B2421C" w14:textId="77777777" w:rsidR="00EE37EA" w:rsidRPr="00C520C3" w:rsidRDefault="00EE37EA" w:rsidP="00EE37EA"/>
    <w:p w14:paraId="519ECA11" w14:textId="77777777" w:rsidR="00EE37EA" w:rsidRPr="00C520C3" w:rsidRDefault="00EE37EA" w:rsidP="00EE37EA">
      <w:pPr>
        <w:rPr>
          <w:b/>
          <w:bCs/>
        </w:rPr>
      </w:pPr>
      <w:r w:rsidRPr="00C520C3">
        <w:rPr>
          <w:b/>
          <w:bCs/>
        </w:rPr>
        <w:t>Duurzaamheidscriteria</w:t>
      </w:r>
    </w:p>
    <w:p w14:paraId="53BADA39" w14:textId="77777777" w:rsidR="00EE37EA" w:rsidRPr="00C520C3" w:rsidRDefault="00EE37EA" w:rsidP="00EE37EA">
      <w:pPr>
        <w:rPr>
          <w:b/>
          <w:bCs/>
        </w:rPr>
      </w:pPr>
      <w:r w:rsidRPr="00C520C3">
        <w:rPr>
          <w:b/>
          <w:bCs/>
        </w:rPr>
        <w:t>4. Aansluiting bij de strategie van het adviesbureau (30%)</w:t>
      </w:r>
    </w:p>
    <w:p w14:paraId="42529F2A" w14:textId="77777777" w:rsidR="00EE37EA" w:rsidRPr="00C520C3" w:rsidRDefault="00EE37EA" w:rsidP="00EE37EA">
      <w:pPr>
        <w:rPr>
          <w:b/>
          <w:bCs/>
        </w:rPr>
      </w:pPr>
      <w:r w:rsidRPr="00C520C3">
        <w:rPr>
          <w:b/>
          <w:bCs/>
        </w:rPr>
        <w:t>Duurzaamheidsbeleid op fondsniveau</w:t>
      </w:r>
    </w:p>
    <w:p w14:paraId="76B0DBA8" w14:textId="77777777" w:rsidR="00EE37EA" w:rsidRPr="00C520C3" w:rsidRDefault="00EE37EA" w:rsidP="00EE37EA">
      <w:r w:rsidRPr="00C520C3">
        <w:t xml:space="preserve">Het fonds voldoet aan </w:t>
      </w:r>
      <w:r w:rsidRPr="00C520C3">
        <w:rPr>
          <w:b/>
          <w:bCs/>
        </w:rPr>
        <w:t>SFDR Artikel 8</w:t>
      </w:r>
      <w:r w:rsidRPr="00C520C3">
        <w:t xml:space="preserve">, wat betekent dat het ecologische en/of sociale kenmerken promoot. Dit beleid is niet slechts gebaseerd op de duurzaamheidsvisie van de aanbieder, maar is </w:t>
      </w:r>
      <w:r w:rsidRPr="00C520C3">
        <w:rPr>
          <w:b/>
          <w:bCs/>
        </w:rPr>
        <w:t>verankerd in de kern van het fonds zelf</w:t>
      </w:r>
      <w:r w:rsidRPr="00C520C3">
        <w:t>.</w:t>
      </w:r>
    </w:p>
    <w:p w14:paraId="79E7AE38" w14:textId="77777777" w:rsidR="00EE37EA" w:rsidRPr="00C520C3" w:rsidRDefault="00EE37EA" w:rsidP="00EE37EA">
      <w:r w:rsidRPr="00C520C3">
        <w:t>Uit de documentatie blijkt:</w:t>
      </w:r>
    </w:p>
    <w:p w14:paraId="481393A7" w14:textId="77777777" w:rsidR="00EE37EA" w:rsidRPr="00C520C3" w:rsidRDefault="00EE37EA" w:rsidP="00E1671C">
      <w:pPr>
        <w:numPr>
          <w:ilvl w:val="0"/>
          <w:numId w:val="62"/>
        </w:numPr>
        <w:spacing w:line="259" w:lineRule="auto"/>
      </w:pPr>
      <w:r w:rsidRPr="00C520C3">
        <w:t>Geen beleggingen in activiteiten gerelateerd aan fossiel gas of kernenergie conform EU-Taxonomie.</w:t>
      </w:r>
    </w:p>
    <w:p w14:paraId="32144A81" w14:textId="77777777" w:rsidR="00EE37EA" w:rsidRPr="00C520C3" w:rsidRDefault="00EE37EA" w:rsidP="00E1671C">
      <w:pPr>
        <w:numPr>
          <w:ilvl w:val="0"/>
          <w:numId w:val="62"/>
        </w:numPr>
        <w:spacing w:line="259" w:lineRule="auto"/>
      </w:pPr>
      <w:r w:rsidRPr="00C520C3">
        <w:t xml:space="preserve">Integratie van de </w:t>
      </w:r>
      <w:proofErr w:type="spellStart"/>
      <w:r w:rsidRPr="00C520C3">
        <w:rPr>
          <w:b/>
          <w:bCs/>
        </w:rPr>
        <w:t>Principal</w:t>
      </w:r>
      <w:proofErr w:type="spellEnd"/>
      <w:r w:rsidRPr="00C520C3">
        <w:rPr>
          <w:b/>
          <w:bCs/>
        </w:rPr>
        <w:t xml:space="preserve"> Adverse Impacts (PAI)</w:t>
      </w:r>
      <w:r w:rsidRPr="00C520C3">
        <w:t>, wat betekent dat negatieve milieu- en sociale effecten expliciet worden meegewogen.</w:t>
      </w:r>
    </w:p>
    <w:p w14:paraId="4F7B12BA" w14:textId="77777777" w:rsidR="00EE37EA" w:rsidRPr="00C520C3" w:rsidRDefault="00EE37EA" w:rsidP="00E1671C">
      <w:pPr>
        <w:numPr>
          <w:ilvl w:val="0"/>
          <w:numId w:val="62"/>
        </w:numPr>
        <w:spacing w:line="259" w:lineRule="auto"/>
      </w:pPr>
      <w:r w:rsidRPr="00C520C3">
        <w:t>Bedrijven moeten bijdragen aan klimaattransitie, energie-efficiëntie, hernieuwbare energie, circulaire economie, of duurzame infrastructuur.</w:t>
      </w:r>
    </w:p>
    <w:p w14:paraId="3F8A3792" w14:textId="77777777" w:rsidR="00EE37EA" w:rsidRPr="00C520C3" w:rsidRDefault="00EE37EA" w:rsidP="00EE37EA">
      <w:pPr>
        <w:rPr>
          <w:b/>
          <w:bCs/>
        </w:rPr>
      </w:pPr>
      <w:r w:rsidRPr="00C520C3">
        <w:rPr>
          <w:b/>
          <w:bCs/>
        </w:rPr>
        <w:t>Besluitvormingscriteria</w:t>
      </w:r>
    </w:p>
    <w:p w14:paraId="3482B940" w14:textId="77777777" w:rsidR="00EE37EA" w:rsidRPr="00C520C3" w:rsidRDefault="00EE37EA" w:rsidP="00EE37EA">
      <w:r w:rsidRPr="00C520C3">
        <w:t>Het fonds hanteert meerdere duurzame beleggingsmethoden:</w:t>
      </w:r>
    </w:p>
    <w:p w14:paraId="1609A498" w14:textId="77777777" w:rsidR="00EE37EA" w:rsidRPr="00C520C3" w:rsidRDefault="00EE37EA" w:rsidP="00E1671C">
      <w:pPr>
        <w:numPr>
          <w:ilvl w:val="0"/>
          <w:numId w:val="63"/>
        </w:numPr>
        <w:spacing w:line="259" w:lineRule="auto"/>
      </w:pPr>
      <w:r w:rsidRPr="00C520C3">
        <w:rPr>
          <w:b/>
          <w:bCs/>
        </w:rPr>
        <w:t>Uitsluitingen:</w:t>
      </w:r>
      <w:r w:rsidRPr="00C520C3">
        <w:t xml:space="preserve"> bedrijven betrokken bij controversiële wapens, tabak en andere niet-duurzame activiteiten worden uitgesloten.</w:t>
      </w:r>
    </w:p>
    <w:p w14:paraId="0AFC149E" w14:textId="77777777" w:rsidR="00EE37EA" w:rsidRPr="00C520C3" w:rsidRDefault="00EE37EA" w:rsidP="00E1671C">
      <w:pPr>
        <w:numPr>
          <w:ilvl w:val="0"/>
          <w:numId w:val="63"/>
        </w:numPr>
        <w:spacing w:line="259" w:lineRule="auto"/>
      </w:pPr>
      <w:r w:rsidRPr="00C520C3">
        <w:rPr>
          <w:b/>
          <w:bCs/>
        </w:rPr>
        <w:t>Best-in-class / ESG-integratie:</w:t>
      </w:r>
      <w:r w:rsidRPr="00C520C3">
        <w:t xml:space="preserve"> bedrijven worden beoordeeld op ESG-scores en toekomstgericht klimaatbeleid.</w:t>
      </w:r>
    </w:p>
    <w:p w14:paraId="03AFAA20" w14:textId="77777777" w:rsidR="00EE37EA" w:rsidRPr="00C520C3" w:rsidRDefault="00EE37EA" w:rsidP="00E1671C">
      <w:pPr>
        <w:numPr>
          <w:ilvl w:val="0"/>
          <w:numId w:val="63"/>
        </w:numPr>
        <w:spacing w:line="259" w:lineRule="auto"/>
      </w:pPr>
      <w:proofErr w:type="spellStart"/>
      <w:r w:rsidRPr="00C520C3">
        <w:rPr>
          <w:b/>
          <w:bCs/>
        </w:rPr>
        <w:t>Themabeleggen</w:t>
      </w:r>
      <w:proofErr w:type="spellEnd"/>
      <w:r w:rsidRPr="00C520C3">
        <w:rPr>
          <w:b/>
          <w:bCs/>
        </w:rPr>
        <w:t>:</w:t>
      </w:r>
      <w:r w:rsidRPr="00C520C3">
        <w:t xml:space="preserve"> de volledige portefeuille draait om klimaattransitie.</w:t>
      </w:r>
    </w:p>
    <w:p w14:paraId="051E2DFF" w14:textId="77777777" w:rsidR="00EE37EA" w:rsidRPr="00C520C3" w:rsidRDefault="00EE37EA" w:rsidP="00E1671C">
      <w:pPr>
        <w:numPr>
          <w:ilvl w:val="0"/>
          <w:numId w:val="63"/>
        </w:numPr>
        <w:spacing w:line="259" w:lineRule="auto"/>
      </w:pPr>
      <w:r w:rsidRPr="00C520C3">
        <w:rPr>
          <w:b/>
          <w:bCs/>
        </w:rPr>
        <w:t>Engagement:</w:t>
      </w:r>
      <w:r w:rsidRPr="00C520C3">
        <w:t xml:space="preserve"> Allianz GI onderhoudt actief contact met ondernemingen om ESG-verbeteringen te stimuleren.</w:t>
      </w:r>
    </w:p>
    <w:p w14:paraId="71D75518" w14:textId="77777777" w:rsidR="00EE37EA" w:rsidRPr="00C520C3" w:rsidRDefault="00EE37EA" w:rsidP="00E1671C">
      <w:pPr>
        <w:numPr>
          <w:ilvl w:val="0"/>
          <w:numId w:val="63"/>
        </w:numPr>
        <w:spacing w:line="259" w:lineRule="auto"/>
      </w:pPr>
      <w:r w:rsidRPr="00C520C3">
        <w:rPr>
          <w:b/>
          <w:bCs/>
        </w:rPr>
        <w:t>Stembeleid:</w:t>
      </w:r>
      <w:r w:rsidRPr="00C520C3">
        <w:t xml:space="preserve"> het fonds maakt gebruik van een duidelijk stembeleid gericht op klimaatprioriteiten.</w:t>
      </w:r>
    </w:p>
    <w:p w14:paraId="6CE8622B" w14:textId="77777777" w:rsidR="00EE37EA" w:rsidRPr="00C520C3" w:rsidRDefault="00EE37EA" w:rsidP="00EE37EA">
      <w:pPr>
        <w:rPr>
          <w:b/>
          <w:bCs/>
        </w:rPr>
      </w:pPr>
      <w:r w:rsidRPr="00C520C3">
        <w:rPr>
          <w:b/>
          <w:bCs/>
        </w:rPr>
        <w:t>Striktheid van de criteria</w:t>
      </w:r>
    </w:p>
    <w:p w14:paraId="2A0AED8E" w14:textId="77777777" w:rsidR="00EE37EA" w:rsidRPr="00C520C3" w:rsidRDefault="00EE37EA" w:rsidP="00EE37EA">
      <w:r w:rsidRPr="00C520C3">
        <w:t>De criteria zijn bovengemiddeld strikt:</w:t>
      </w:r>
    </w:p>
    <w:p w14:paraId="004823A7" w14:textId="77777777" w:rsidR="00EE37EA" w:rsidRPr="00C520C3" w:rsidRDefault="00EE37EA" w:rsidP="00E1671C">
      <w:pPr>
        <w:numPr>
          <w:ilvl w:val="0"/>
          <w:numId w:val="64"/>
        </w:numPr>
        <w:spacing w:line="259" w:lineRule="auto"/>
      </w:pPr>
      <w:r w:rsidRPr="00C520C3">
        <w:t>Het fonds richt zich uitsluitend op bedrijven die substantieel bijdragen aan de klimaattransitie.</w:t>
      </w:r>
    </w:p>
    <w:p w14:paraId="6A8C6095" w14:textId="77777777" w:rsidR="00EE37EA" w:rsidRPr="00C520C3" w:rsidRDefault="00EE37EA" w:rsidP="00E1671C">
      <w:pPr>
        <w:numPr>
          <w:ilvl w:val="0"/>
          <w:numId w:val="64"/>
        </w:numPr>
        <w:spacing w:line="259" w:lineRule="auto"/>
      </w:pPr>
      <w:r w:rsidRPr="00C520C3">
        <w:t>Uitsluitingslijsten worden consequent toegepast.</w:t>
      </w:r>
    </w:p>
    <w:p w14:paraId="266226B3" w14:textId="77777777" w:rsidR="00EE37EA" w:rsidRPr="00C520C3" w:rsidRDefault="00EE37EA" w:rsidP="00E1671C">
      <w:pPr>
        <w:numPr>
          <w:ilvl w:val="0"/>
          <w:numId w:val="64"/>
        </w:numPr>
        <w:spacing w:line="259" w:lineRule="auto"/>
      </w:pPr>
      <w:r w:rsidRPr="00C520C3">
        <w:t>Bedrijven die niet voldoen aan transitievereisten worden uitgesloten of actief betrokken met duidelijke verbeterdoelen.</w:t>
      </w:r>
    </w:p>
    <w:p w14:paraId="1E73587A" w14:textId="77777777" w:rsidR="00EE37EA" w:rsidRPr="00C520C3" w:rsidRDefault="00EE37EA" w:rsidP="00EE37EA">
      <w:r w:rsidRPr="00C520C3">
        <w:rPr>
          <w:b/>
          <w:bCs/>
        </w:rPr>
        <w:t>Conclusie:</w:t>
      </w:r>
      <w:r w:rsidRPr="00C520C3">
        <w:t xml:space="preserve"> het fonds past uitstekend bij de adviesfilosofie waarbij duurzaamheidsimpact een belangrijke rol speelt.</w:t>
      </w:r>
    </w:p>
    <w:p w14:paraId="4A1603AE" w14:textId="77777777" w:rsidR="00EE37EA" w:rsidRPr="00C520C3" w:rsidRDefault="00EE37EA" w:rsidP="00EE37EA"/>
    <w:p w14:paraId="49980F5D" w14:textId="77777777" w:rsidR="00EE37EA" w:rsidRPr="00C520C3" w:rsidRDefault="00EE37EA" w:rsidP="00EE37EA">
      <w:pPr>
        <w:rPr>
          <w:b/>
          <w:bCs/>
        </w:rPr>
      </w:pPr>
      <w:r w:rsidRPr="00C520C3">
        <w:rPr>
          <w:b/>
          <w:bCs/>
        </w:rPr>
        <w:t>5. Klimaatrisico’s (10%)</w:t>
      </w:r>
    </w:p>
    <w:p w14:paraId="699244DD" w14:textId="77777777" w:rsidR="00EE37EA" w:rsidRPr="00C520C3" w:rsidRDefault="00EE37EA" w:rsidP="00EE37EA">
      <w:r w:rsidRPr="00C520C3">
        <w:t>De verslaglegging over klimaatrisico’s is van hoge kwaliteit. Allianz GI biedt informatie over:</w:t>
      </w:r>
    </w:p>
    <w:p w14:paraId="2B68C993" w14:textId="77777777" w:rsidR="00EE37EA" w:rsidRPr="00C520C3" w:rsidRDefault="00EE37EA" w:rsidP="00E1671C">
      <w:pPr>
        <w:numPr>
          <w:ilvl w:val="0"/>
          <w:numId w:val="65"/>
        </w:numPr>
        <w:spacing w:line="259" w:lineRule="auto"/>
      </w:pPr>
      <w:r w:rsidRPr="00C520C3">
        <w:t>Transitie</w:t>
      </w:r>
      <w:r w:rsidRPr="00C520C3">
        <w:softHyphen/>
        <w:t>risico’s (bijv. regelgeving en CO₂-kosten),</w:t>
      </w:r>
    </w:p>
    <w:p w14:paraId="6E09C678" w14:textId="77777777" w:rsidR="00EE37EA" w:rsidRPr="00C520C3" w:rsidRDefault="00EE37EA" w:rsidP="00E1671C">
      <w:pPr>
        <w:numPr>
          <w:ilvl w:val="0"/>
          <w:numId w:val="65"/>
        </w:numPr>
        <w:spacing w:line="259" w:lineRule="auto"/>
      </w:pPr>
      <w:r w:rsidRPr="00C520C3">
        <w:t xml:space="preserve">Fysieke risico’s (bijv. extreem weer en </w:t>
      </w:r>
      <w:proofErr w:type="spellStart"/>
      <w:r w:rsidRPr="00C520C3">
        <w:t>klimaatgerelateerde</w:t>
      </w:r>
      <w:proofErr w:type="spellEnd"/>
      <w:r w:rsidRPr="00C520C3">
        <w:t xml:space="preserve"> verstoringen),</w:t>
      </w:r>
    </w:p>
    <w:p w14:paraId="080FE108" w14:textId="77777777" w:rsidR="00EE37EA" w:rsidRPr="00C520C3" w:rsidRDefault="00EE37EA" w:rsidP="00E1671C">
      <w:pPr>
        <w:numPr>
          <w:ilvl w:val="0"/>
          <w:numId w:val="65"/>
        </w:numPr>
        <w:spacing w:line="259" w:lineRule="auto"/>
      </w:pPr>
      <w:r w:rsidRPr="00C520C3">
        <w:t>Impact op financiële prestaties.</w:t>
      </w:r>
    </w:p>
    <w:p w14:paraId="6438B80F" w14:textId="77777777" w:rsidR="00EE37EA" w:rsidRPr="00C520C3" w:rsidRDefault="00EE37EA" w:rsidP="00EE37EA">
      <w:r w:rsidRPr="00C520C3">
        <w:t>Het fonds beschrijft duidelijk hoe deze risico’s worden gemeten en gemonitord en hoe ze worden meegenomen in beleggingsbeslissingen. De transparantie is bovengemiddeld, hoewel kwantitatieve metingen (zoals CO₂-intensiteit t.o.v. benchmark) nog uitgebreider zouden kunnen worden weergegeven.</w:t>
      </w:r>
    </w:p>
    <w:p w14:paraId="6EFA1494" w14:textId="77777777" w:rsidR="00EE37EA" w:rsidRPr="00C520C3" w:rsidRDefault="00EE37EA" w:rsidP="00EE37EA"/>
    <w:p w14:paraId="0AF458A5" w14:textId="77777777" w:rsidR="00EE37EA" w:rsidRPr="00C520C3" w:rsidRDefault="00EE37EA" w:rsidP="00EE37EA">
      <w:pPr>
        <w:rPr>
          <w:b/>
          <w:bCs/>
        </w:rPr>
      </w:pPr>
      <w:r w:rsidRPr="00C520C3">
        <w:rPr>
          <w:b/>
          <w:bCs/>
        </w:rPr>
        <w:t>6. Klantcommunicatie (10%)</w:t>
      </w:r>
    </w:p>
    <w:p w14:paraId="5AF9748D" w14:textId="77777777" w:rsidR="00EE37EA" w:rsidRPr="00C520C3" w:rsidRDefault="00EE37EA" w:rsidP="00EE37EA">
      <w:r w:rsidRPr="00C520C3">
        <w:t xml:space="preserve">De communicatie richting beleggers verloopt via drie belangrijke documenten: het KID, de </w:t>
      </w:r>
      <w:proofErr w:type="spellStart"/>
      <w:r w:rsidRPr="00C520C3">
        <w:t>Factsheet</w:t>
      </w:r>
      <w:proofErr w:type="spellEnd"/>
      <w:r w:rsidRPr="00C520C3">
        <w:t xml:space="preserve"> en het Prospectus. Deze documenten zijn:</w:t>
      </w:r>
    </w:p>
    <w:p w14:paraId="2EF9316C" w14:textId="77777777" w:rsidR="00EE37EA" w:rsidRPr="00C520C3" w:rsidRDefault="00EE37EA" w:rsidP="00E1671C">
      <w:pPr>
        <w:numPr>
          <w:ilvl w:val="0"/>
          <w:numId w:val="66"/>
        </w:numPr>
        <w:spacing w:line="259" w:lineRule="auto"/>
      </w:pPr>
      <w:r w:rsidRPr="00C520C3">
        <w:rPr>
          <w:b/>
          <w:bCs/>
        </w:rPr>
        <w:t>Duidelijk</w:t>
      </w:r>
      <w:r w:rsidRPr="00C520C3">
        <w:t>, met kerncijfers en ESG-informatie direct terug te vinden,</w:t>
      </w:r>
    </w:p>
    <w:p w14:paraId="28E9BACD" w14:textId="77777777" w:rsidR="00EE37EA" w:rsidRPr="00C520C3" w:rsidRDefault="00EE37EA" w:rsidP="00E1671C">
      <w:pPr>
        <w:numPr>
          <w:ilvl w:val="0"/>
          <w:numId w:val="66"/>
        </w:numPr>
        <w:spacing w:line="259" w:lineRule="auto"/>
      </w:pPr>
      <w:r w:rsidRPr="00C520C3">
        <w:rPr>
          <w:b/>
          <w:bCs/>
        </w:rPr>
        <w:t>Begrijpelijk</w:t>
      </w:r>
      <w:r w:rsidRPr="00C520C3">
        <w:t>, met heldere taal en uitleg,</w:t>
      </w:r>
    </w:p>
    <w:p w14:paraId="29B017A7" w14:textId="77777777" w:rsidR="00EE37EA" w:rsidRPr="00C520C3" w:rsidRDefault="00EE37EA" w:rsidP="00E1671C">
      <w:pPr>
        <w:numPr>
          <w:ilvl w:val="0"/>
          <w:numId w:val="66"/>
        </w:numPr>
        <w:spacing w:line="259" w:lineRule="auto"/>
      </w:pPr>
      <w:r w:rsidRPr="00C520C3">
        <w:rPr>
          <w:b/>
          <w:bCs/>
        </w:rPr>
        <w:t>Goed vindbaar</w:t>
      </w:r>
      <w:r w:rsidRPr="00C520C3">
        <w:t>, via de officiële fondswebsite en het documentatiegedeelte.</w:t>
      </w:r>
    </w:p>
    <w:p w14:paraId="63881897" w14:textId="77777777" w:rsidR="00EE37EA" w:rsidRPr="00C520C3" w:rsidRDefault="00EE37EA" w:rsidP="00EE37EA">
      <w:r w:rsidRPr="00C520C3">
        <w:t xml:space="preserve">Met name de </w:t>
      </w:r>
      <w:proofErr w:type="spellStart"/>
      <w:r w:rsidRPr="00C520C3">
        <w:t>Factsheet</w:t>
      </w:r>
      <w:proofErr w:type="spellEnd"/>
      <w:r w:rsidRPr="00C520C3">
        <w:t xml:space="preserve"> biedt een goede balans tussen duurzaamheidsinformatie, portefeuillekenmerken en prestaties. De ESG-aanpak wordt niet alleen benoemd, maar ook concreet toegelicht.</w:t>
      </w:r>
    </w:p>
    <w:p w14:paraId="77243829" w14:textId="77777777" w:rsidR="00EE37EA" w:rsidRPr="00C520C3" w:rsidRDefault="00EE37EA" w:rsidP="00EE37EA"/>
    <w:p w14:paraId="438B7EE5" w14:textId="77777777" w:rsidR="00EE37EA" w:rsidRPr="00C520C3" w:rsidRDefault="00EE37EA" w:rsidP="00EE37EA">
      <w:pPr>
        <w:rPr>
          <w:b/>
          <w:bCs/>
        </w:rPr>
      </w:pPr>
      <w:r w:rsidRPr="00C520C3">
        <w:rPr>
          <w:b/>
          <w:bCs/>
        </w:rPr>
        <w:t>Eindconclusie</w:t>
      </w:r>
    </w:p>
    <w:p w14:paraId="598FF6B9" w14:textId="77777777" w:rsidR="00EE37EA" w:rsidRPr="00C520C3" w:rsidRDefault="00EE37EA" w:rsidP="00EE37EA">
      <w:r w:rsidRPr="00C520C3">
        <w:t xml:space="preserve">Het Allianz </w:t>
      </w:r>
      <w:proofErr w:type="spellStart"/>
      <w:r w:rsidRPr="00C520C3">
        <w:t>Climate</w:t>
      </w:r>
      <w:proofErr w:type="spellEnd"/>
      <w:r w:rsidRPr="00C520C3">
        <w:t xml:space="preserve"> </w:t>
      </w:r>
      <w:proofErr w:type="spellStart"/>
      <w:r w:rsidRPr="00C520C3">
        <w:t>Transition</w:t>
      </w:r>
      <w:proofErr w:type="spellEnd"/>
      <w:r w:rsidRPr="00C520C3">
        <w:t xml:space="preserve"> Europe AT (EUR)-fonds sluit </w:t>
      </w:r>
      <w:r w:rsidRPr="00C520C3">
        <w:rPr>
          <w:b/>
          <w:bCs/>
        </w:rPr>
        <w:t>uitstekend</w:t>
      </w:r>
      <w:r w:rsidRPr="00C520C3">
        <w:t xml:space="preserve"> aan bij de adviesfilosofie van een toekomstgericht, duurzaam financieel adviesbureau. Het fonds combineert:</w:t>
      </w:r>
    </w:p>
    <w:p w14:paraId="02F907C1" w14:textId="77777777" w:rsidR="00EE37EA" w:rsidRPr="00C520C3" w:rsidRDefault="00EE37EA" w:rsidP="00E1671C">
      <w:pPr>
        <w:numPr>
          <w:ilvl w:val="0"/>
          <w:numId w:val="67"/>
        </w:numPr>
        <w:spacing w:line="259" w:lineRule="auto"/>
      </w:pPr>
      <w:r w:rsidRPr="00C520C3">
        <w:t>Een sterke focus op klimaattransitie,</w:t>
      </w:r>
    </w:p>
    <w:p w14:paraId="26AB23D9" w14:textId="77777777" w:rsidR="00EE37EA" w:rsidRPr="00C520C3" w:rsidRDefault="00EE37EA" w:rsidP="00E1671C">
      <w:pPr>
        <w:numPr>
          <w:ilvl w:val="0"/>
          <w:numId w:val="67"/>
        </w:numPr>
        <w:spacing w:line="259" w:lineRule="auto"/>
      </w:pPr>
      <w:r w:rsidRPr="00C520C3">
        <w:t>Een duidelijk duurzaamheidsbeleid (SFDR Art. 8),</w:t>
      </w:r>
    </w:p>
    <w:p w14:paraId="0E8B002C" w14:textId="77777777" w:rsidR="00EE37EA" w:rsidRPr="00C520C3" w:rsidRDefault="00EE37EA" w:rsidP="00E1671C">
      <w:pPr>
        <w:numPr>
          <w:ilvl w:val="0"/>
          <w:numId w:val="67"/>
        </w:numPr>
        <w:spacing w:line="259" w:lineRule="auto"/>
      </w:pPr>
      <w:r w:rsidRPr="00C520C3">
        <w:t>Hoge transparantie,</w:t>
      </w:r>
    </w:p>
    <w:p w14:paraId="05925548" w14:textId="77777777" w:rsidR="00EE37EA" w:rsidRPr="00C520C3" w:rsidRDefault="00EE37EA" w:rsidP="00E1671C">
      <w:pPr>
        <w:numPr>
          <w:ilvl w:val="0"/>
          <w:numId w:val="67"/>
        </w:numPr>
        <w:spacing w:line="259" w:lineRule="auto"/>
      </w:pPr>
      <w:r w:rsidRPr="00C520C3">
        <w:t>professionele actieve selectie,</w:t>
      </w:r>
    </w:p>
    <w:p w14:paraId="59DE4E99" w14:textId="77777777" w:rsidR="00EE37EA" w:rsidRPr="00C520C3" w:rsidRDefault="00EE37EA" w:rsidP="00E1671C">
      <w:pPr>
        <w:numPr>
          <w:ilvl w:val="0"/>
          <w:numId w:val="67"/>
        </w:numPr>
        <w:spacing w:line="259" w:lineRule="auto"/>
      </w:pPr>
      <w:r w:rsidRPr="00C520C3">
        <w:t>en een robuuste structuur sinds 2019.</w:t>
      </w:r>
    </w:p>
    <w:p w14:paraId="407A1A33" w14:textId="77777777" w:rsidR="00EE37EA" w:rsidRPr="00C520C3" w:rsidRDefault="00EE37EA" w:rsidP="00EE37EA">
      <w:r w:rsidRPr="00C520C3">
        <w:t>Voor klanten die willen beleggen met impact én groeipotentieel binnen Europese markten, vormt dit fonds een goede keuze.</w:t>
      </w:r>
    </w:p>
    <w:p w14:paraId="308CF055" w14:textId="77777777" w:rsidR="00693593" w:rsidRPr="0031355F" w:rsidRDefault="00693593" w:rsidP="00693593"/>
    <w:p w14:paraId="23E175F5" w14:textId="161554BA" w:rsidR="2A259567" w:rsidRDefault="2A259567" w:rsidP="2A259567"/>
    <w:p w14:paraId="245C6815" w14:textId="113A1936" w:rsidR="2A259567" w:rsidRDefault="2A259567" w:rsidP="2A259567"/>
    <w:p w14:paraId="7AAE7944" w14:textId="125959D6" w:rsidR="2A259567" w:rsidRDefault="2A259567" w:rsidP="2A259567"/>
    <w:p w14:paraId="60AE7E90" w14:textId="1114212E" w:rsidR="2A259567" w:rsidRDefault="2A259567" w:rsidP="2A259567"/>
    <w:p w14:paraId="7ED35E86" w14:textId="3096771A" w:rsidR="2A259567" w:rsidRDefault="2A259567" w:rsidP="2A259567"/>
    <w:p w14:paraId="65733F91" w14:textId="205A9475" w:rsidR="2A259567" w:rsidRDefault="2A259567" w:rsidP="2A259567"/>
    <w:p w14:paraId="10C4481B" w14:textId="0335CCAD" w:rsidR="24DCF000" w:rsidRDefault="25FF5BD9" w:rsidP="2A259567">
      <w:pPr>
        <w:pStyle w:val="Heading1"/>
      </w:pPr>
      <w:bookmarkStart w:id="23" w:name="_Toc1331345147"/>
      <w:r>
        <w:t>Analyse Soraya Vink</w:t>
      </w:r>
      <w:bookmarkEnd w:id="23"/>
    </w:p>
    <w:p w14:paraId="28A2163C" w14:textId="64DCAFB4" w:rsidR="24DCF000" w:rsidRDefault="25FF5BD9" w:rsidP="00E1671C">
      <w:pPr>
        <w:pStyle w:val="Heading1"/>
        <w:numPr>
          <w:ilvl w:val="0"/>
          <w:numId w:val="10"/>
        </w:numPr>
        <w:spacing w:before="0" w:after="0"/>
        <w:rPr>
          <w:rFonts w:ascii="Calibri" w:eastAsia="Calibri" w:hAnsi="Calibri" w:cs="Calibri"/>
          <w:color w:val="2F5496"/>
          <w:sz w:val="32"/>
          <w:szCs w:val="32"/>
        </w:rPr>
      </w:pPr>
      <w:bookmarkStart w:id="24" w:name="_Toc1044840287"/>
      <w:r w:rsidRPr="6D5ED2DD">
        <w:rPr>
          <w:rFonts w:ascii="Calibri" w:eastAsia="Calibri" w:hAnsi="Calibri" w:cs="Calibri"/>
          <w:color w:val="2F5496"/>
          <w:sz w:val="32"/>
          <w:szCs w:val="32"/>
        </w:rPr>
        <w:t>Analyse vermogensbeheerders op duurzaamheid, governance en reputatie</w:t>
      </w:r>
      <w:bookmarkEnd w:id="24"/>
    </w:p>
    <w:p w14:paraId="75C52381" w14:textId="77161FE5" w:rsidR="24DCF000" w:rsidRDefault="24DCF000" w:rsidP="2A259567">
      <w:pPr>
        <w:spacing w:after="0"/>
      </w:pPr>
      <w:r w:rsidRPr="2A259567">
        <w:rPr>
          <w:rFonts w:ascii="Calibri" w:eastAsia="Calibri" w:hAnsi="Calibri" w:cs="Calibri"/>
        </w:rPr>
        <w:t xml:space="preserve"> </w:t>
      </w:r>
    </w:p>
    <w:p w14:paraId="0404C400" w14:textId="74BDC22F" w:rsidR="24DCF000" w:rsidRPr="00F65EAB" w:rsidRDefault="24DCF000" w:rsidP="2A259567">
      <w:pPr>
        <w:spacing w:after="0"/>
        <w:rPr>
          <w:lang w:val="en-US"/>
        </w:rPr>
      </w:pPr>
      <w:proofErr w:type="spellStart"/>
      <w:r w:rsidRPr="2A259567">
        <w:rPr>
          <w:rFonts w:ascii="Calibri" w:eastAsia="Calibri" w:hAnsi="Calibri" w:cs="Calibri"/>
          <w:lang w:val="en-US"/>
        </w:rPr>
        <w:t>Bedrijven</w:t>
      </w:r>
      <w:proofErr w:type="spellEnd"/>
      <w:r w:rsidRPr="2A259567">
        <w:rPr>
          <w:rFonts w:ascii="Calibri" w:eastAsia="Calibri" w:hAnsi="Calibri" w:cs="Calibri"/>
          <w:lang w:val="en-US"/>
        </w:rPr>
        <w:t>: Fidelity, Allianz Group, Vanguard Group &amp; Blackrock</w:t>
      </w:r>
    </w:p>
    <w:p w14:paraId="0E053017" w14:textId="1F5ABB43" w:rsidR="24DCF000" w:rsidRPr="00F65EAB" w:rsidRDefault="24DCF000" w:rsidP="2A259567">
      <w:pPr>
        <w:spacing w:after="0"/>
        <w:rPr>
          <w:lang w:val="en-US"/>
        </w:rPr>
      </w:pPr>
      <w:r w:rsidRPr="2A259567">
        <w:rPr>
          <w:rFonts w:ascii="Calibri" w:eastAsia="Calibri" w:hAnsi="Calibri" w:cs="Calibri"/>
          <w:lang w:val="en-US"/>
        </w:rPr>
        <w:t xml:space="preserve"> </w:t>
      </w:r>
    </w:p>
    <w:p w14:paraId="0937A1B1" w14:textId="79383F2F" w:rsidR="24DCF000" w:rsidRDefault="24DCF000" w:rsidP="2A259567">
      <w:pPr>
        <w:spacing w:after="0"/>
      </w:pPr>
      <w:r w:rsidRPr="2A259567">
        <w:rPr>
          <w:rFonts w:ascii="Calibri" w:eastAsia="Calibri" w:hAnsi="Calibri" w:cs="Calibri"/>
        </w:rPr>
        <w:t xml:space="preserve">In deze analyse worden de 4 bovenstaande bedrijven geanalyseerd en vergeleken met elkaar op punten zoals duurzaamheid, </w:t>
      </w:r>
      <w:proofErr w:type="spellStart"/>
      <w:r w:rsidRPr="2A259567">
        <w:rPr>
          <w:rFonts w:ascii="Calibri" w:eastAsia="Calibri" w:hAnsi="Calibri" w:cs="Calibri"/>
        </w:rPr>
        <w:t>governance</w:t>
      </w:r>
      <w:proofErr w:type="spellEnd"/>
      <w:r w:rsidRPr="2A259567">
        <w:rPr>
          <w:rFonts w:ascii="Calibri" w:eastAsia="Calibri" w:hAnsi="Calibri" w:cs="Calibri"/>
        </w:rPr>
        <w:t xml:space="preserve"> en reputatie. Zodat we uiteindelijke met onze groep partners kunnen kiezen waarmee wij willen samenwerken en het vermogen van klanten in willen investeren. Op basis van informatie, rapporten, ESG-rapportages en nieuwsbronnen worden de bedrijven beoordeeld. </w:t>
      </w:r>
    </w:p>
    <w:p w14:paraId="4101C0C7" w14:textId="1130AA24" w:rsidR="24DCF000" w:rsidRDefault="24DCF000" w:rsidP="2A259567">
      <w:pPr>
        <w:pStyle w:val="Heading2"/>
        <w:spacing w:before="40" w:after="0"/>
      </w:pPr>
      <w:r w:rsidRPr="2A259567">
        <w:rPr>
          <w:rFonts w:ascii="Calibri" w:eastAsia="Calibri" w:hAnsi="Calibri" w:cs="Calibri"/>
          <w:color w:val="2F5496"/>
          <w:sz w:val="26"/>
          <w:szCs w:val="26"/>
        </w:rPr>
        <w:t xml:space="preserve"> </w:t>
      </w:r>
    </w:p>
    <w:p w14:paraId="5354C5B1" w14:textId="7F681577" w:rsidR="24DCF000" w:rsidRDefault="25FF5BD9" w:rsidP="00E1671C">
      <w:pPr>
        <w:pStyle w:val="Heading2"/>
        <w:numPr>
          <w:ilvl w:val="1"/>
          <w:numId w:val="10"/>
        </w:numPr>
        <w:spacing w:before="0" w:after="0"/>
        <w:ind w:left="1080"/>
        <w:rPr>
          <w:rFonts w:ascii="Calibri" w:eastAsia="Calibri" w:hAnsi="Calibri" w:cs="Calibri"/>
          <w:color w:val="2F5496"/>
          <w:sz w:val="26"/>
          <w:szCs w:val="26"/>
        </w:rPr>
      </w:pPr>
      <w:bookmarkStart w:id="25" w:name="_Toc172217351"/>
      <w:r w:rsidRPr="6D5ED2DD">
        <w:rPr>
          <w:rFonts w:ascii="Calibri" w:eastAsia="Calibri" w:hAnsi="Calibri" w:cs="Calibri"/>
          <w:color w:val="2F5496"/>
          <w:sz w:val="26"/>
          <w:szCs w:val="26"/>
        </w:rPr>
        <w:t>Algemene bedrijfsinformatie</w:t>
      </w:r>
      <w:bookmarkEnd w:id="25"/>
    </w:p>
    <w:tbl>
      <w:tblPr>
        <w:tblStyle w:val="PlainTable3"/>
        <w:tblW w:w="0" w:type="auto"/>
        <w:tblLook w:val="04A0" w:firstRow="1" w:lastRow="0" w:firstColumn="1" w:lastColumn="0" w:noHBand="0" w:noVBand="1"/>
      </w:tblPr>
      <w:tblGrid>
        <w:gridCol w:w="1784"/>
        <w:gridCol w:w="1789"/>
        <w:gridCol w:w="1803"/>
        <w:gridCol w:w="1841"/>
        <w:gridCol w:w="1809"/>
      </w:tblGrid>
      <w:tr w:rsidR="2A259567" w14:paraId="53A81D2E" w14:textId="77777777" w:rsidTr="2A25956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11" w:type="dxa"/>
            <w:tcBorders>
              <w:top w:val="nil"/>
              <w:left w:val="nil"/>
              <w:bottom w:val="single" w:sz="8" w:space="0" w:color="7F7F7F" w:themeColor="text1" w:themeTint="80"/>
            </w:tcBorders>
            <w:tcMar>
              <w:left w:w="108" w:type="dxa"/>
              <w:right w:w="108" w:type="dxa"/>
            </w:tcMar>
          </w:tcPr>
          <w:p w14:paraId="0E88746A" w14:textId="44D7112C" w:rsidR="2A259567" w:rsidRDefault="2A259567" w:rsidP="2A259567">
            <w:r w:rsidRPr="2A259567">
              <w:rPr>
                <w:rFonts w:ascii="Calibri" w:eastAsia="Calibri" w:hAnsi="Calibri" w:cs="Calibri"/>
                <w:sz w:val="22"/>
                <w:szCs w:val="22"/>
              </w:rPr>
              <w:t xml:space="preserve">Bedrijf </w:t>
            </w:r>
          </w:p>
        </w:tc>
        <w:tc>
          <w:tcPr>
            <w:tcW w:w="1811" w:type="dxa"/>
            <w:tcBorders>
              <w:top w:val="nil"/>
              <w:left w:val="nil"/>
              <w:bottom w:val="single" w:sz="8" w:space="0" w:color="7F7F7F" w:themeColor="text1" w:themeTint="80"/>
              <w:right w:val="nil"/>
            </w:tcBorders>
            <w:tcMar>
              <w:left w:w="108" w:type="dxa"/>
              <w:right w:w="108" w:type="dxa"/>
            </w:tcMar>
          </w:tcPr>
          <w:p w14:paraId="65011DD1" w14:textId="4FDA7DF8"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Land/Regio</w:t>
            </w:r>
          </w:p>
        </w:tc>
        <w:tc>
          <w:tcPr>
            <w:tcW w:w="1811" w:type="dxa"/>
            <w:tcBorders>
              <w:top w:val="nil"/>
              <w:left w:val="nil"/>
              <w:bottom w:val="single" w:sz="8" w:space="0" w:color="7F7F7F" w:themeColor="text1" w:themeTint="80"/>
              <w:right w:val="nil"/>
            </w:tcBorders>
            <w:tcMar>
              <w:left w:w="108" w:type="dxa"/>
              <w:right w:w="108" w:type="dxa"/>
            </w:tcMar>
          </w:tcPr>
          <w:p w14:paraId="7D7C16F2" w14:textId="0042FFB1"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AUM/Omvang</w:t>
            </w:r>
          </w:p>
        </w:tc>
        <w:tc>
          <w:tcPr>
            <w:tcW w:w="1811" w:type="dxa"/>
            <w:tcBorders>
              <w:top w:val="nil"/>
              <w:left w:val="nil"/>
              <w:bottom w:val="single" w:sz="8" w:space="0" w:color="7F7F7F" w:themeColor="text1" w:themeTint="80"/>
              <w:right w:val="nil"/>
            </w:tcBorders>
            <w:tcMar>
              <w:left w:w="108" w:type="dxa"/>
              <w:right w:w="108" w:type="dxa"/>
            </w:tcMar>
          </w:tcPr>
          <w:p w14:paraId="5541DAEE" w14:textId="5BB96CE9"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Type beheer</w:t>
            </w:r>
          </w:p>
        </w:tc>
        <w:tc>
          <w:tcPr>
            <w:tcW w:w="1812" w:type="dxa"/>
            <w:tcBorders>
              <w:top w:val="nil"/>
              <w:left w:val="nil"/>
              <w:bottom w:val="single" w:sz="8" w:space="0" w:color="7F7F7F" w:themeColor="text1" w:themeTint="80"/>
              <w:right w:val="nil"/>
            </w:tcBorders>
            <w:tcMar>
              <w:left w:w="108" w:type="dxa"/>
              <w:right w:w="108" w:type="dxa"/>
            </w:tcMar>
          </w:tcPr>
          <w:p w14:paraId="172D573B" w14:textId="5D3482C2"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Doelgroep</w:t>
            </w:r>
          </w:p>
        </w:tc>
      </w:tr>
      <w:tr w:rsidR="2A259567" w14:paraId="669CCD94"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1" w:type="dxa"/>
            <w:tcBorders>
              <w:top w:val="single" w:sz="8" w:space="0" w:color="7F7F7F" w:themeColor="text1" w:themeTint="80"/>
              <w:left w:val="nil"/>
              <w:bottom w:val="nil"/>
              <w:right w:val="single" w:sz="8" w:space="0" w:color="7F7F7F" w:themeColor="text1" w:themeTint="80"/>
            </w:tcBorders>
            <w:tcMar>
              <w:left w:w="108" w:type="dxa"/>
              <w:right w:w="108" w:type="dxa"/>
            </w:tcMar>
          </w:tcPr>
          <w:p w14:paraId="371A379A" w14:textId="74F89D85" w:rsidR="2A259567" w:rsidRDefault="2A259567" w:rsidP="2A259567">
            <w:r w:rsidRPr="2A259567">
              <w:rPr>
                <w:rFonts w:ascii="Calibri" w:eastAsia="Calibri" w:hAnsi="Calibri" w:cs="Calibri"/>
                <w:color w:val="000000" w:themeColor="text1"/>
                <w:sz w:val="22"/>
                <w:szCs w:val="22"/>
              </w:rPr>
              <w:t>Fidelity</w:t>
            </w:r>
          </w:p>
        </w:tc>
        <w:tc>
          <w:tcPr>
            <w:tcW w:w="1811" w:type="dxa"/>
            <w:tcMar>
              <w:left w:w="108" w:type="dxa"/>
              <w:right w:w="108" w:type="dxa"/>
            </w:tcMar>
          </w:tcPr>
          <w:p w14:paraId="7D76B887" w14:textId="17931CE6"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VS (Wereldwijd actief)</w:t>
            </w:r>
          </w:p>
        </w:tc>
        <w:tc>
          <w:tcPr>
            <w:tcW w:w="1811" w:type="dxa"/>
            <w:tcMar>
              <w:left w:w="108" w:type="dxa"/>
              <w:right w:w="108" w:type="dxa"/>
            </w:tcMar>
          </w:tcPr>
          <w:p w14:paraId="77B9B7A3" w14:textId="66E47E0F" w:rsidR="2A259567" w:rsidRDefault="2A259567" w:rsidP="2A259567">
            <w:pPr>
              <w:spacing w:line="480" w:lineRule="auto"/>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€13,95 biljoen</w:t>
            </w:r>
          </w:p>
        </w:tc>
        <w:tc>
          <w:tcPr>
            <w:tcW w:w="1811" w:type="dxa"/>
            <w:tcMar>
              <w:left w:w="108" w:type="dxa"/>
              <w:right w:w="108" w:type="dxa"/>
            </w:tcMar>
          </w:tcPr>
          <w:p w14:paraId="6882F589" w14:textId="5BCD8168"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 xml:space="preserve">Actief &amp; passief, </w:t>
            </w:r>
            <w:proofErr w:type="spellStart"/>
            <w:r w:rsidRPr="2A259567">
              <w:rPr>
                <w:rFonts w:ascii="Calibri" w:eastAsia="Calibri" w:hAnsi="Calibri" w:cs="Calibri"/>
                <w:color w:val="000000" w:themeColor="text1"/>
                <w:sz w:val="22"/>
                <w:szCs w:val="22"/>
              </w:rPr>
              <w:t>multi</w:t>
            </w:r>
            <w:proofErr w:type="spellEnd"/>
            <w:r w:rsidRPr="2A259567">
              <w:rPr>
                <w:rFonts w:ascii="Calibri" w:eastAsia="Calibri" w:hAnsi="Calibri" w:cs="Calibri"/>
                <w:color w:val="000000" w:themeColor="text1"/>
                <w:sz w:val="22"/>
                <w:szCs w:val="22"/>
              </w:rPr>
              <w:t>-asset</w:t>
            </w:r>
          </w:p>
        </w:tc>
        <w:tc>
          <w:tcPr>
            <w:tcW w:w="1812" w:type="dxa"/>
            <w:tcMar>
              <w:left w:w="108" w:type="dxa"/>
              <w:right w:w="108" w:type="dxa"/>
            </w:tcMar>
          </w:tcPr>
          <w:p w14:paraId="2951D847" w14:textId="0AFB419B"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Particulieren, bedrijven, curatoren</w:t>
            </w:r>
          </w:p>
        </w:tc>
      </w:tr>
      <w:tr w:rsidR="2A259567" w14:paraId="1DCECA52"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1811" w:type="dxa"/>
            <w:tcBorders>
              <w:top w:val="nil"/>
              <w:left w:val="nil"/>
              <w:bottom w:val="nil"/>
              <w:right w:val="single" w:sz="8" w:space="0" w:color="7F7F7F" w:themeColor="text1" w:themeTint="80"/>
            </w:tcBorders>
            <w:tcMar>
              <w:left w:w="108" w:type="dxa"/>
              <w:right w:w="108" w:type="dxa"/>
            </w:tcMar>
          </w:tcPr>
          <w:p w14:paraId="52D1C9CA" w14:textId="3EC2C322" w:rsidR="2A259567" w:rsidRDefault="2A259567" w:rsidP="2A259567">
            <w:r w:rsidRPr="2A259567">
              <w:rPr>
                <w:rFonts w:ascii="Calibri" w:eastAsia="Calibri" w:hAnsi="Calibri" w:cs="Calibri"/>
                <w:sz w:val="22"/>
                <w:szCs w:val="22"/>
              </w:rPr>
              <w:t>Allianz Group</w:t>
            </w:r>
          </w:p>
        </w:tc>
        <w:tc>
          <w:tcPr>
            <w:tcW w:w="1811" w:type="dxa"/>
            <w:tcMar>
              <w:left w:w="108" w:type="dxa"/>
              <w:right w:w="108" w:type="dxa"/>
            </w:tcMar>
          </w:tcPr>
          <w:p w14:paraId="5F5157FC" w14:textId="000732A2"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Europa (mondiaal actief)</w:t>
            </w:r>
          </w:p>
        </w:tc>
        <w:tc>
          <w:tcPr>
            <w:tcW w:w="1811" w:type="dxa"/>
            <w:tcMar>
              <w:left w:w="108" w:type="dxa"/>
              <w:right w:w="108" w:type="dxa"/>
            </w:tcMar>
          </w:tcPr>
          <w:p w14:paraId="5FB2CC4E" w14:textId="3DD49B79"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€2,6 miljard</w:t>
            </w:r>
          </w:p>
        </w:tc>
        <w:tc>
          <w:tcPr>
            <w:tcW w:w="1811" w:type="dxa"/>
            <w:tcMar>
              <w:left w:w="108" w:type="dxa"/>
              <w:right w:w="108" w:type="dxa"/>
            </w:tcMar>
          </w:tcPr>
          <w:p w14:paraId="44C67BBD" w14:textId="240B5C0C"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Actief, verzekeringen, vermogensbeheer</w:t>
            </w:r>
          </w:p>
        </w:tc>
        <w:tc>
          <w:tcPr>
            <w:tcW w:w="1812" w:type="dxa"/>
            <w:tcMar>
              <w:left w:w="108" w:type="dxa"/>
              <w:right w:w="108" w:type="dxa"/>
            </w:tcMar>
          </w:tcPr>
          <w:p w14:paraId="326DB940" w14:textId="6A54E693"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Particulieren, bedrijven</w:t>
            </w:r>
          </w:p>
        </w:tc>
      </w:tr>
      <w:tr w:rsidR="2A259567" w14:paraId="6763EA38"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1" w:type="dxa"/>
            <w:tcBorders>
              <w:top w:val="nil"/>
              <w:left w:val="nil"/>
              <w:bottom w:val="nil"/>
              <w:right w:val="single" w:sz="8" w:space="0" w:color="7F7F7F" w:themeColor="text1" w:themeTint="80"/>
            </w:tcBorders>
            <w:tcMar>
              <w:left w:w="108" w:type="dxa"/>
              <w:right w:w="108" w:type="dxa"/>
            </w:tcMar>
          </w:tcPr>
          <w:p w14:paraId="7A43D150" w14:textId="11B83F01" w:rsidR="2A259567" w:rsidRDefault="2A259567" w:rsidP="2A259567">
            <w:r w:rsidRPr="2A259567">
              <w:rPr>
                <w:rFonts w:ascii="Calibri" w:eastAsia="Calibri" w:hAnsi="Calibri" w:cs="Calibri"/>
                <w:color w:val="000000" w:themeColor="text1"/>
                <w:sz w:val="22"/>
                <w:szCs w:val="22"/>
              </w:rPr>
              <w:t>Vanguard Group</w:t>
            </w:r>
          </w:p>
        </w:tc>
        <w:tc>
          <w:tcPr>
            <w:tcW w:w="1811" w:type="dxa"/>
            <w:tcMar>
              <w:left w:w="108" w:type="dxa"/>
              <w:right w:w="108" w:type="dxa"/>
            </w:tcMar>
          </w:tcPr>
          <w:p w14:paraId="37F142A4" w14:textId="2185065A"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VS, Europa, Azië</w:t>
            </w:r>
          </w:p>
        </w:tc>
        <w:tc>
          <w:tcPr>
            <w:tcW w:w="1811" w:type="dxa"/>
            <w:tcMar>
              <w:left w:w="108" w:type="dxa"/>
              <w:right w:w="108" w:type="dxa"/>
            </w:tcMar>
          </w:tcPr>
          <w:p w14:paraId="4C254573" w14:textId="2CF7F330"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€9,7 miljard</w:t>
            </w:r>
          </w:p>
        </w:tc>
        <w:tc>
          <w:tcPr>
            <w:tcW w:w="1811" w:type="dxa"/>
            <w:tcMar>
              <w:left w:w="108" w:type="dxa"/>
              <w:right w:w="108" w:type="dxa"/>
            </w:tcMar>
          </w:tcPr>
          <w:p w14:paraId="23B6D468" w14:textId="5B1888DE"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Passief, beperkt actief</w:t>
            </w:r>
          </w:p>
        </w:tc>
        <w:tc>
          <w:tcPr>
            <w:tcW w:w="1812" w:type="dxa"/>
            <w:tcMar>
              <w:left w:w="108" w:type="dxa"/>
              <w:right w:w="108" w:type="dxa"/>
            </w:tcMar>
          </w:tcPr>
          <w:p w14:paraId="1391F383" w14:textId="56CB154A"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Particulieren, institutioneel, pensioenfondsen</w:t>
            </w:r>
          </w:p>
        </w:tc>
      </w:tr>
      <w:tr w:rsidR="2A259567" w14:paraId="0FA259EA"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1811" w:type="dxa"/>
            <w:tcBorders>
              <w:top w:val="nil"/>
              <w:left w:val="nil"/>
              <w:bottom w:val="nil"/>
              <w:right w:val="single" w:sz="8" w:space="0" w:color="7F7F7F" w:themeColor="text1" w:themeTint="80"/>
            </w:tcBorders>
            <w:tcMar>
              <w:left w:w="108" w:type="dxa"/>
              <w:right w:w="108" w:type="dxa"/>
            </w:tcMar>
          </w:tcPr>
          <w:p w14:paraId="26FBD65E" w14:textId="39ACB8D2" w:rsidR="2A259567" w:rsidRDefault="2A259567" w:rsidP="2A259567">
            <w:r w:rsidRPr="2A259567">
              <w:rPr>
                <w:rFonts w:ascii="Calibri" w:eastAsia="Calibri" w:hAnsi="Calibri" w:cs="Calibri"/>
                <w:sz w:val="22"/>
                <w:szCs w:val="22"/>
              </w:rPr>
              <w:t>Blackrock</w:t>
            </w:r>
          </w:p>
        </w:tc>
        <w:tc>
          <w:tcPr>
            <w:tcW w:w="1811" w:type="dxa"/>
            <w:tcMar>
              <w:left w:w="108" w:type="dxa"/>
              <w:right w:w="108" w:type="dxa"/>
            </w:tcMar>
          </w:tcPr>
          <w:p w14:paraId="3B122E76" w14:textId="1E8767BB"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VS (mondiaal actief)</w:t>
            </w:r>
          </w:p>
        </w:tc>
        <w:tc>
          <w:tcPr>
            <w:tcW w:w="1811" w:type="dxa"/>
            <w:tcMar>
              <w:left w:w="108" w:type="dxa"/>
              <w:right w:w="108" w:type="dxa"/>
            </w:tcMar>
          </w:tcPr>
          <w:p w14:paraId="230613BB" w14:textId="4BA483B8"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€9,98 biljoen</w:t>
            </w:r>
          </w:p>
        </w:tc>
        <w:tc>
          <w:tcPr>
            <w:tcW w:w="1811" w:type="dxa"/>
            <w:tcMar>
              <w:left w:w="108" w:type="dxa"/>
              <w:right w:w="108" w:type="dxa"/>
            </w:tcMar>
          </w:tcPr>
          <w:p w14:paraId="62D05982" w14:textId="76592E49"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Passief en actief</w:t>
            </w:r>
          </w:p>
        </w:tc>
        <w:tc>
          <w:tcPr>
            <w:tcW w:w="1812" w:type="dxa"/>
            <w:tcMar>
              <w:left w:w="108" w:type="dxa"/>
              <w:right w:w="108" w:type="dxa"/>
            </w:tcMar>
          </w:tcPr>
          <w:p w14:paraId="41AC5D31" w14:textId="4C7D45AF"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Institutioneel, vermogende particulieren, banken</w:t>
            </w:r>
          </w:p>
        </w:tc>
      </w:tr>
    </w:tbl>
    <w:p w14:paraId="6E6010EA" w14:textId="40E3AEAA" w:rsidR="32F1AED3" w:rsidRDefault="32F1AED3" w:rsidP="2A259567">
      <w:pPr>
        <w:spacing w:after="0"/>
      </w:pPr>
      <w:r w:rsidRPr="2A259567">
        <w:rPr>
          <w:rFonts w:ascii="Calibri" w:eastAsia="Calibri" w:hAnsi="Calibri" w:cs="Calibri"/>
        </w:rPr>
        <w:t xml:space="preserve"> </w:t>
      </w:r>
    </w:p>
    <w:p w14:paraId="1397D3DE" w14:textId="3099768D" w:rsidR="32F1AED3" w:rsidRDefault="32F1AED3" w:rsidP="2A259567">
      <w:pPr>
        <w:spacing w:after="0"/>
      </w:pPr>
      <w:r w:rsidRPr="2A259567">
        <w:rPr>
          <w:rFonts w:ascii="Calibri" w:eastAsia="Calibri" w:hAnsi="Calibri" w:cs="Calibri"/>
        </w:rPr>
        <w:t xml:space="preserve"> </w:t>
      </w:r>
    </w:p>
    <w:p w14:paraId="12D83564" w14:textId="51508F42" w:rsidR="32F1AED3" w:rsidRDefault="21D74ABE" w:rsidP="00E1671C">
      <w:pPr>
        <w:pStyle w:val="Heading2"/>
        <w:numPr>
          <w:ilvl w:val="1"/>
          <w:numId w:val="10"/>
        </w:numPr>
        <w:spacing w:before="0" w:after="0"/>
        <w:ind w:left="1080"/>
        <w:rPr>
          <w:rFonts w:ascii="Calibri" w:eastAsia="Calibri" w:hAnsi="Calibri" w:cs="Calibri"/>
          <w:color w:val="2F5496"/>
          <w:sz w:val="26"/>
          <w:szCs w:val="26"/>
        </w:rPr>
      </w:pPr>
      <w:bookmarkStart w:id="26" w:name="_Toc1880335322"/>
      <w:r w:rsidRPr="6D5ED2DD">
        <w:rPr>
          <w:rFonts w:ascii="Calibri" w:eastAsia="Calibri" w:hAnsi="Calibri" w:cs="Calibri"/>
          <w:color w:val="2F5496"/>
          <w:sz w:val="26"/>
          <w:szCs w:val="26"/>
        </w:rPr>
        <w:t>Analysevragen per thema</w:t>
      </w:r>
      <w:bookmarkEnd w:id="26"/>
    </w:p>
    <w:p w14:paraId="1E3EC07F" w14:textId="2B7FDF7D" w:rsidR="32F1AED3" w:rsidRDefault="21D74ABE" w:rsidP="00E1671C">
      <w:pPr>
        <w:pStyle w:val="Heading3"/>
        <w:numPr>
          <w:ilvl w:val="0"/>
          <w:numId w:val="9"/>
        </w:numPr>
        <w:spacing w:before="0" w:after="0"/>
        <w:rPr>
          <w:rFonts w:ascii="Calibri" w:eastAsia="Calibri" w:hAnsi="Calibri" w:cs="Calibri"/>
          <w:color w:val="1F3763"/>
          <w:sz w:val="24"/>
          <w:szCs w:val="24"/>
        </w:rPr>
      </w:pPr>
      <w:bookmarkStart w:id="27" w:name="_Toc1640744109"/>
      <w:r w:rsidRPr="6D5ED2DD">
        <w:rPr>
          <w:rFonts w:ascii="Calibri" w:eastAsia="Calibri" w:hAnsi="Calibri" w:cs="Calibri"/>
          <w:color w:val="1F3763"/>
          <w:sz w:val="24"/>
          <w:szCs w:val="24"/>
        </w:rPr>
        <w:t>Duurzaamheid/ESG-beleid</w:t>
      </w:r>
      <w:bookmarkEnd w:id="27"/>
    </w:p>
    <w:tbl>
      <w:tblPr>
        <w:tblStyle w:val="PlainTable3"/>
        <w:tblW w:w="0" w:type="auto"/>
        <w:tblInd w:w="-120" w:type="dxa"/>
        <w:tblLook w:val="04A0" w:firstRow="1" w:lastRow="0" w:firstColumn="1" w:lastColumn="0" w:noHBand="0" w:noVBand="1"/>
      </w:tblPr>
      <w:tblGrid>
        <w:gridCol w:w="2734"/>
        <w:gridCol w:w="2273"/>
        <w:gridCol w:w="1426"/>
        <w:gridCol w:w="1346"/>
        <w:gridCol w:w="1367"/>
      </w:tblGrid>
      <w:tr w:rsidR="2A259567" w14:paraId="63142BEA" w14:textId="77777777" w:rsidTr="2A25956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670" w:type="dxa"/>
            <w:tcBorders>
              <w:top w:val="nil"/>
              <w:left w:val="nil"/>
              <w:bottom w:val="single" w:sz="8" w:space="0" w:color="7F7F7F" w:themeColor="text1" w:themeTint="80"/>
            </w:tcBorders>
            <w:tcMar>
              <w:left w:w="108" w:type="dxa"/>
              <w:right w:w="108" w:type="dxa"/>
            </w:tcMar>
          </w:tcPr>
          <w:p w14:paraId="1066103A" w14:textId="4F35568E" w:rsidR="2A259567" w:rsidRDefault="2A259567" w:rsidP="2A259567">
            <w:r w:rsidRPr="2A259567">
              <w:rPr>
                <w:rFonts w:ascii="Calibri" w:eastAsia="Calibri" w:hAnsi="Calibri" w:cs="Calibri"/>
                <w:sz w:val="21"/>
                <w:szCs w:val="21"/>
              </w:rPr>
              <w:t>Vraag</w:t>
            </w:r>
          </w:p>
        </w:tc>
        <w:tc>
          <w:tcPr>
            <w:tcW w:w="2700" w:type="dxa"/>
            <w:tcBorders>
              <w:top w:val="nil"/>
              <w:left w:val="nil"/>
              <w:bottom w:val="single" w:sz="8" w:space="0" w:color="7F7F7F" w:themeColor="text1" w:themeTint="80"/>
              <w:right w:val="nil"/>
            </w:tcBorders>
            <w:tcMar>
              <w:left w:w="108" w:type="dxa"/>
              <w:right w:w="108" w:type="dxa"/>
            </w:tcMar>
          </w:tcPr>
          <w:p w14:paraId="4DF1EE01" w14:textId="38893EC3"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Fidelity</w:t>
            </w:r>
          </w:p>
        </w:tc>
        <w:tc>
          <w:tcPr>
            <w:tcW w:w="1635" w:type="dxa"/>
            <w:tcBorders>
              <w:top w:val="nil"/>
              <w:left w:val="nil"/>
              <w:bottom w:val="single" w:sz="8" w:space="0" w:color="7F7F7F" w:themeColor="text1" w:themeTint="80"/>
              <w:right w:val="nil"/>
            </w:tcBorders>
            <w:tcMar>
              <w:left w:w="108" w:type="dxa"/>
              <w:right w:w="108" w:type="dxa"/>
            </w:tcMar>
          </w:tcPr>
          <w:p w14:paraId="4106762C" w14:textId="0DAFE004"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Allianz Group</w:t>
            </w:r>
          </w:p>
        </w:tc>
        <w:tc>
          <w:tcPr>
            <w:tcW w:w="1800" w:type="dxa"/>
            <w:tcBorders>
              <w:top w:val="nil"/>
              <w:left w:val="nil"/>
              <w:bottom w:val="single" w:sz="8" w:space="0" w:color="7F7F7F" w:themeColor="text1" w:themeTint="80"/>
              <w:right w:val="nil"/>
            </w:tcBorders>
            <w:tcMar>
              <w:left w:w="108" w:type="dxa"/>
              <w:right w:w="108" w:type="dxa"/>
            </w:tcMar>
          </w:tcPr>
          <w:p w14:paraId="5A6193D6" w14:textId="062BCD05"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Vanguard Group</w:t>
            </w:r>
          </w:p>
        </w:tc>
        <w:tc>
          <w:tcPr>
            <w:tcW w:w="1778" w:type="dxa"/>
            <w:tcBorders>
              <w:top w:val="nil"/>
              <w:left w:val="nil"/>
              <w:bottom w:val="single" w:sz="8" w:space="0" w:color="7F7F7F" w:themeColor="text1" w:themeTint="80"/>
              <w:right w:val="nil"/>
            </w:tcBorders>
            <w:tcMar>
              <w:left w:w="108" w:type="dxa"/>
              <w:right w:w="108" w:type="dxa"/>
            </w:tcMar>
          </w:tcPr>
          <w:p w14:paraId="4DA5FDAC" w14:textId="4281088F"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Blackrock</w:t>
            </w:r>
          </w:p>
        </w:tc>
      </w:tr>
      <w:tr w:rsidR="2A259567" w14:paraId="0EDFF48E"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70" w:type="dxa"/>
            <w:tcBorders>
              <w:top w:val="single" w:sz="8" w:space="0" w:color="7F7F7F" w:themeColor="text1" w:themeTint="80"/>
              <w:left w:val="nil"/>
              <w:bottom w:val="nil"/>
              <w:right w:val="single" w:sz="8" w:space="0" w:color="7F7F7F" w:themeColor="text1" w:themeTint="80"/>
            </w:tcBorders>
            <w:tcMar>
              <w:left w:w="108" w:type="dxa"/>
              <w:right w:w="108" w:type="dxa"/>
            </w:tcMar>
          </w:tcPr>
          <w:p w14:paraId="036CBD40" w14:textId="0CCBA7E4" w:rsidR="2A259567" w:rsidRDefault="2A259567" w:rsidP="2A259567">
            <w:r w:rsidRPr="2A259567">
              <w:rPr>
                <w:rFonts w:ascii="Calibri" w:eastAsia="Calibri" w:hAnsi="Calibri" w:cs="Calibri"/>
                <w:color w:val="000000" w:themeColor="text1"/>
                <w:sz w:val="21"/>
                <w:szCs w:val="21"/>
              </w:rPr>
              <w:t>Heeft het bedrijf een</w:t>
            </w:r>
          </w:p>
          <w:p w14:paraId="321BB88E" w14:textId="1D3756B5" w:rsidR="2A259567" w:rsidRDefault="2A259567" w:rsidP="2A259567">
            <w:r w:rsidRPr="2A259567">
              <w:rPr>
                <w:rFonts w:ascii="Calibri" w:eastAsia="Calibri" w:hAnsi="Calibri" w:cs="Calibri"/>
                <w:color w:val="000000" w:themeColor="text1"/>
                <w:sz w:val="21"/>
                <w:szCs w:val="21"/>
              </w:rPr>
              <w:t>formeel ESG-beleid?</w:t>
            </w:r>
          </w:p>
        </w:tc>
        <w:tc>
          <w:tcPr>
            <w:tcW w:w="2700" w:type="dxa"/>
            <w:tcMar>
              <w:left w:w="108" w:type="dxa"/>
              <w:right w:w="108" w:type="dxa"/>
            </w:tcMar>
          </w:tcPr>
          <w:p w14:paraId="6D43945B" w14:textId="016E939A"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Ja, uitgebreid en formeel ESG-kader</w:t>
            </w:r>
          </w:p>
        </w:tc>
        <w:tc>
          <w:tcPr>
            <w:tcW w:w="1635" w:type="dxa"/>
            <w:tcMar>
              <w:left w:w="108" w:type="dxa"/>
              <w:right w:w="108" w:type="dxa"/>
            </w:tcMar>
          </w:tcPr>
          <w:p w14:paraId="3B42CE38" w14:textId="1F21FE8C"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Ja, diepgaan duurzaamheids- en ESG-beleid</w:t>
            </w:r>
          </w:p>
        </w:tc>
        <w:tc>
          <w:tcPr>
            <w:tcW w:w="1800" w:type="dxa"/>
            <w:tcMar>
              <w:left w:w="108" w:type="dxa"/>
              <w:right w:w="108" w:type="dxa"/>
            </w:tcMar>
          </w:tcPr>
          <w:p w14:paraId="0A7579BA" w14:textId="639856FF"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Ja, ESG-beleid</w:t>
            </w:r>
          </w:p>
        </w:tc>
        <w:tc>
          <w:tcPr>
            <w:tcW w:w="1778" w:type="dxa"/>
            <w:tcMar>
              <w:left w:w="108" w:type="dxa"/>
              <w:right w:w="108" w:type="dxa"/>
            </w:tcMar>
          </w:tcPr>
          <w:p w14:paraId="2ED69848" w14:textId="76B5775F"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Ja, ESG-beleid</w:t>
            </w:r>
          </w:p>
        </w:tc>
      </w:tr>
      <w:tr w:rsidR="2A259567" w14:paraId="5ECCB466"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2670" w:type="dxa"/>
            <w:tcBorders>
              <w:top w:val="nil"/>
              <w:left w:val="nil"/>
              <w:bottom w:val="nil"/>
              <w:right w:val="single" w:sz="8" w:space="0" w:color="7F7F7F" w:themeColor="text1" w:themeTint="80"/>
            </w:tcBorders>
            <w:tcMar>
              <w:left w:w="108" w:type="dxa"/>
              <w:right w:w="108" w:type="dxa"/>
            </w:tcMar>
          </w:tcPr>
          <w:p w14:paraId="47B9424B" w14:textId="2BF180DD" w:rsidR="2A259567" w:rsidRDefault="2A259567" w:rsidP="2A259567">
            <w:r w:rsidRPr="2A259567">
              <w:rPr>
                <w:rFonts w:ascii="Calibri" w:eastAsia="Calibri" w:hAnsi="Calibri" w:cs="Calibri"/>
                <w:sz w:val="21"/>
                <w:szCs w:val="21"/>
              </w:rPr>
              <w:t>Sluit het bedrijf</w:t>
            </w:r>
          </w:p>
          <w:p w14:paraId="25FDB215" w14:textId="089F3059" w:rsidR="2A259567" w:rsidRDefault="2A259567" w:rsidP="2A259567">
            <w:r w:rsidRPr="2A259567">
              <w:rPr>
                <w:rFonts w:ascii="Calibri" w:eastAsia="Calibri" w:hAnsi="Calibri" w:cs="Calibri"/>
                <w:sz w:val="21"/>
                <w:szCs w:val="21"/>
              </w:rPr>
              <w:t>sectoren uit?</w:t>
            </w:r>
          </w:p>
        </w:tc>
        <w:tc>
          <w:tcPr>
            <w:tcW w:w="2700" w:type="dxa"/>
            <w:tcMar>
              <w:left w:w="108" w:type="dxa"/>
              <w:right w:w="108" w:type="dxa"/>
            </w:tcMar>
          </w:tcPr>
          <w:p w14:paraId="68DD4D31" w14:textId="347BB98E"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Ja, Vaak wapens, tabak, steenkool, controversiële wapens</w:t>
            </w:r>
          </w:p>
        </w:tc>
        <w:tc>
          <w:tcPr>
            <w:tcW w:w="1635" w:type="dxa"/>
            <w:tcMar>
              <w:left w:w="108" w:type="dxa"/>
              <w:right w:w="108" w:type="dxa"/>
            </w:tcMar>
          </w:tcPr>
          <w:p w14:paraId="79D79E25" w14:textId="6C4737D0"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Ja, fossiele energie (zoals kolen), controversiële wapens</w:t>
            </w:r>
          </w:p>
          <w:p w14:paraId="74A66B76" w14:textId="7F09543A"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 xml:space="preserve"> </w:t>
            </w:r>
          </w:p>
        </w:tc>
        <w:tc>
          <w:tcPr>
            <w:tcW w:w="1800" w:type="dxa"/>
            <w:tcMar>
              <w:left w:w="108" w:type="dxa"/>
              <w:right w:w="108" w:type="dxa"/>
            </w:tcMar>
          </w:tcPr>
          <w:p w14:paraId="74CD64E6" w14:textId="76773C32"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Beperkt, vooral in speciale ESG-fondsen. sluiten wapens, tabak, fossiele brandstoffen uit</w:t>
            </w:r>
          </w:p>
        </w:tc>
        <w:tc>
          <w:tcPr>
            <w:tcW w:w="1778" w:type="dxa"/>
            <w:tcMar>
              <w:left w:w="108" w:type="dxa"/>
              <w:right w:w="108" w:type="dxa"/>
            </w:tcMar>
          </w:tcPr>
          <w:p w14:paraId="21AA806C" w14:textId="4231583C"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Beperkt, vooral in ESG-fondsen.</w:t>
            </w:r>
          </w:p>
          <w:p w14:paraId="131B1F03" w14:textId="5CA79DEC"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Clustermunitie, tabak, steenkool, fossiele energie</w:t>
            </w:r>
          </w:p>
        </w:tc>
      </w:tr>
      <w:tr w:rsidR="2A259567" w14:paraId="488356C4"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70" w:type="dxa"/>
            <w:tcBorders>
              <w:top w:val="nil"/>
              <w:left w:val="nil"/>
              <w:bottom w:val="nil"/>
              <w:right w:val="single" w:sz="8" w:space="0" w:color="7F7F7F" w:themeColor="text1" w:themeTint="80"/>
            </w:tcBorders>
            <w:tcMar>
              <w:left w:w="108" w:type="dxa"/>
              <w:right w:w="108" w:type="dxa"/>
            </w:tcMar>
          </w:tcPr>
          <w:p w14:paraId="0AEF034D" w14:textId="0078026F" w:rsidR="2A259567" w:rsidRDefault="2A259567" w:rsidP="2A259567">
            <w:r w:rsidRPr="2A259567">
              <w:rPr>
                <w:rFonts w:ascii="Calibri" w:eastAsia="Calibri" w:hAnsi="Calibri" w:cs="Calibri"/>
                <w:color w:val="000000" w:themeColor="text1"/>
                <w:sz w:val="21"/>
                <w:szCs w:val="21"/>
              </w:rPr>
              <w:t>Wordt ESG</w:t>
            </w:r>
          </w:p>
          <w:p w14:paraId="33595A87" w14:textId="13E1DDD2" w:rsidR="2A259567" w:rsidRDefault="2A259567" w:rsidP="2A259567">
            <w:r w:rsidRPr="2A259567">
              <w:rPr>
                <w:rFonts w:ascii="Calibri" w:eastAsia="Calibri" w:hAnsi="Calibri" w:cs="Calibri"/>
                <w:color w:val="000000" w:themeColor="text1"/>
                <w:sz w:val="21"/>
                <w:szCs w:val="21"/>
              </w:rPr>
              <w:t>geïntegreerd in alle</w:t>
            </w:r>
          </w:p>
          <w:p w14:paraId="56CEFA0B" w14:textId="473AE34A" w:rsidR="2A259567" w:rsidRDefault="2A259567" w:rsidP="2A259567">
            <w:r w:rsidRPr="2A259567">
              <w:rPr>
                <w:rFonts w:ascii="Calibri" w:eastAsia="Calibri" w:hAnsi="Calibri" w:cs="Calibri"/>
                <w:color w:val="000000" w:themeColor="text1"/>
                <w:sz w:val="21"/>
                <w:szCs w:val="21"/>
              </w:rPr>
              <w:t>beleggingen?</w:t>
            </w:r>
          </w:p>
        </w:tc>
        <w:tc>
          <w:tcPr>
            <w:tcW w:w="2700" w:type="dxa"/>
            <w:tcMar>
              <w:left w:w="108" w:type="dxa"/>
              <w:right w:w="108" w:type="dxa"/>
            </w:tcMar>
          </w:tcPr>
          <w:p w14:paraId="6D13DA17" w14:textId="126CBED1"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Voornaamste focus op ESG-fondsen, niet alle beleggingen</w:t>
            </w:r>
          </w:p>
        </w:tc>
        <w:tc>
          <w:tcPr>
            <w:tcW w:w="1635" w:type="dxa"/>
            <w:tcMar>
              <w:left w:w="108" w:type="dxa"/>
              <w:right w:w="108" w:type="dxa"/>
            </w:tcMar>
          </w:tcPr>
          <w:p w14:paraId="4DF505ED" w14:textId="0D8830B4"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Ja</w:t>
            </w:r>
          </w:p>
        </w:tc>
        <w:tc>
          <w:tcPr>
            <w:tcW w:w="1800" w:type="dxa"/>
            <w:tcMar>
              <w:left w:w="108" w:type="dxa"/>
              <w:right w:w="108" w:type="dxa"/>
            </w:tcMar>
          </w:tcPr>
          <w:p w14:paraId="0C018F7B" w14:textId="44FCD310"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Nee, maar wel meerderheid in ESG-gerichte fondsen</w:t>
            </w:r>
          </w:p>
        </w:tc>
        <w:tc>
          <w:tcPr>
            <w:tcW w:w="1778" w:type="dxa"/>
            <w:tcMar>
              <w:left w:w="108" w:type="dxa"/>
              <w:right w:w="108" w:type="dxa"/>
            </w:tcMar>
          </w:tcPr>
          <w:p w14:paraId="39D90FB5" w14:textId="417FF5AF"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Nee, niet allemaal maar wel het grootste deel</w:t>
            </w:r>
          </w:p>
        </w:tc>
      </w:tr>
      <w:tr w:rsidR="2A259567" w14:paraId="02F47729"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2670" w:type="dxa"/>
            <w:tcBorders>
              <w:top w:val="nil"/>
              <w:left w:val="nil"/>
              <w:bottom w:val="nil"/>
              <w:right w:val="single" w:sz="8" w:space="0" w:color="7F7F7F" w:themeColor="text1" w:themeTint="80"/>
            </w:tcBorders>
            <w:tcMar>
              <w:left w:w="108" w:type="dxa"/>
              <w:right w:w="108" w:type="dxa"/>
            </w:tcMar>
          </w:tcPr>
          <w:p w14:paraId="22B05816" w14:textId="2A193EC3" w:rsidR="2A259567" w:rsidRDefault="2A259567" w:rsidP="2A259567">
            <w:r w:rsidRPr="2A259567">
              <w:rPr>
                <w:rFonts w:ascii="Calibri" w:eastAsia="Calibri" w:hAnsi="Calibri" w:cs="Calibri"/>
                <w:sz w:val="21"/>
                <w:szCs w:val="21"/>
              </w:rPr>
              <w:t>ESG-rating of eigen analyse?</w:t>
            </w:r>
          </w:p>
        </w:tc>
        <w:tc>
          <w:tcPr>
            <w:tcW w:w="2700" w:type="dxa"/>
            <w:tcMar>
              <w:left w:w="108" w:type="dxa"/>
              <w:right w:w="108" w:type="dxa"/>
            </w:tcMar>
          </w:tcPr>
          <w:p w14:paraId="44C9ECFE" w14:textId="4B438670"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Ja, eigen analyse</w:t>
            </w:r>
          </w:p>
        </w:tc>
        <w:tc>
          <w:tcPr>
            <w:tcW w:w="1635" w:type="dxa"/>
            <w:tcMar>
              <w:left w:w="108" w:type="dxa"/>
              <w:right w:w="108" w:type="dxa"/>
            </w:tcMar>
          </w:tcPr>
          <w:p w14:paraId="3FA2D1AD" w14:textId="4257EC70"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Ja, eigen analyse</w:t>
            </w:r>
          </w:p>
        </w:tc>
        <w:tc>
          <w:tcPr>
            <w:tcW w:w="1800" w:type="dxa"/>
            <w:tcMar>
              <w:left w:w="108" w:type="dxa"/>
              <w:right w:w="108" w:type="dxa"/>
            </w:tcMar>
          </w:tcPr>
          <w:p w14:paraId="64DA83B8" w14:textId="70EB65C2"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 xml:space="preserve">Beperkt, </w:t>
            </w:r>
            <w:proofErr w:type="spellStart"/>
            <w:r w:rsidRPr="2A259567">
              <w:rPr>
                <w:rFonts w:ascii="Calibri" w:eastAsia="Calibri" w:hAnsi="Calibri" w:cs="Calibri"/>
                <w:sz w:val="21"/>
                <w:szCs w:val="21"/>
              </w:rPr>
              <w:t>Vanguard</w:t>
            </w:r>
            <w:proofErr w:type="spellEnd"/>
            <w:r w:rsidRPr="2A259567">
              <w:rPr>
                <w:rFonts w:ascii="Calibri" w:eastAsia="Calibri" w:hAnsi="Calibri" w:cs="Calibri"/>
                <w:sz w:val="21"/>
                <w:szCs w:val="21"/>
              </w:rPr>
              <w:t xml:space="preserve"> doet voornamelijk </w:t>
            </w:r>
            <w:proofErr w:type="spellStart"/>
            <w:r w:rsidRPr="2A259567">
              <w:rPr>
                <w:rFonts w:ascii="Calibri" w:eastAsia="Calibri" w:hAnsi="Calibri" w:cs="Calibri"/>
                <w:sz w:val="21"/>
                <w:szCs w:val="21"/>
              </w:rPr>
              <w:t>due</w:t>
            </w:r>
            <w:proofErr w:type="spellEnd"/>
            <w:r w:rsidRPr="2A259567">
              <w:rPr>
                <w:rFonts w:ascii="Calibri" w:eastAsia="Calibri" w:hAnsi="Calibri" w:cs="Calibri"/>
                <w:sz w:val="21"/>
                <w:szCs w:val="21"/>
              </w:rPr>
              <w:t xml:space="preserve"> diligence op basis van externe ESG-ratings (zoals MSCI en </w:t>
            </w:r>
            <w:proofErr w:type="spellStart"/>
            <w:r w:rsidRPr="2A259567">
              <w:rPr>
                <w:rFonts w:ascii="Calibri" w:eastAsia="Calibri" w:hAnsi="Calibri" w:cs="Calibri"/>
                <w:sz w:val="21"/>
                <w:szCs w:val="21"/>
              </w:rPr>
              <w:t>Sustainalytics</w:t>
            </w:r>
            <w:proofErr w:type="spellEnd"/>
            <w:r w:rsidRPr="2A259567">
              <w:rPr>
                <w:rFonts w:ascii="Calibri" w:eastAsia="Calibri" w:hAnsi="Calibri" w:cs="Calibri"/>
                <w:sz w:val="21"/>
                <w:szCs w:val="21"/>
              </w:rPr>
              <w:t>)</w:t>
            </w:r>
          </w:p>
        </w:tc>
        <w:tc>
          <w:tcPr>
            <w:tcW w:w="1778" w:type="dxa"/>
            <w:tcMar>
              <w:left w:w="108" w:type="dxa"/>
              <w:right w:w="108" w:type="dxa"/>
            </w:tcMar>
          </w:tcPr>
          <w:p w14:paraId="1E87A9A8" w14:textId="0417D9D1"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Ja, eigen analyse</w:t>
            </w:r>
          </w:p>
        </w:tc>
      </w:tr>
      <w:tr w:rsidR="2A259567" w14:paraId="73F40073"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70" w:type="dxa"/>
            <w:tcBorders>
              <w:top w:val="nil"/>
              <w:left w:val="nil"/>
              <w:bottom w:val="nil"/>
              <w:right w:val="single" w:sz="8" w:space="0" w:color="7F7F7F" w:themeColor="text1" w:themeTint="80"/>
            </w:tcBorders>
            <w:tcMar>
              <w:left w:w="108" w:type="dxa"/>
              <w:right w:w="108" w:type="dxa"/>
            </w:tcMar>
          </w:tcPr>
          <w:p w14:paraId="4EB75911" w14:textId="17C63D98" w:rsidR="2A259567" w:rsidRDefault="2A259567" w:rsidP="2A259567">
            <w:r w:rsidRPr="2A259567">
              <w:rPr>
                <w:rFonts w:ascii="Calibri" w:eastAsia="Calibri" w:hAnsi="Calibri" w:cs="Calibri"/>
                <w:color w:val="000000" w:themeColor="text1"/>
                <w:sz w:val="21"/>
                <w:szCs w:val="21"/>
              </w:rPr>
              <w:t>Lid van initiatieven (UN</w:t>
            </w:r>
          </w:p>
          <w:p w14:paraId="29C647DF" w14:textId="3BCA977A" w:rsidR="2A259567" w:rsidRDefault="2A259567" w:rsidP="2A259567">
            <w:r w:rsidRPr="2A259567">
              <w:rPr>
                <w:rFonts w:ascii="Calibri" w:eastAsia="Calibri" w:hAnsi="Calibri" w:cs="Calibri"/>
                <w:color w:val="000000" w:themeColor="text1"/>
                <w:sz w:val="21"/>
                <w:szCs w:val="21"/>
              </w:rPr>
              <w:t>PRI, etc.)</w:t>
            </w:r>
          </w:p>
        </w:tc>
        <w:tc>
          <w:tcPr>
            <w:tcW w:w="2700" w:type="dxa"/>
            <w:tcMar>
              <w:left w:w="108" w:type="dxa"/>
              <w:right w:w="108" w:type="dxa"/>
            </w:tcMar>
          </w:tcPr>
          <w:p w14:paraId="2D0CBEA5" w14:textId="3F0896C3"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 xml:space="preserve">Ja, Klimaatactie 100+, Net Zero Asset Managers </w:t>
            </w:r>
            <w:proofErr w:type="spellStart"/>
            <w:r w:rsidRPr="2A259567">
              <w:rPr>
                <w:rFonts w:ascii="Calibri" w:eastAsia="Calibri" w:hAnsi="Calibri" w:cs="Calibri"/>
                <w:color w:val="000000" w:themeColor="text1"/>
                <w:sz w:val="21"/>
                <w:szCs w:val="21"/>
              </w:rPr>
              <w:t>Initiative</w:t>
            </w:r>
            <w:proofErr w:type="spellEnd"/>
          </w:p>
        </w:tc>
        <w:tc>
          <w:tcPr>
            <w:tcW w:w="1635" w:type="dxa"/>
            <w:tcMar>
              <w:left w:w="108" w:type="dxa"/>
              <w:right w:w="108" w:type="dxa"/>
            </w:tcMar>
          </w:tcPr>
          <w:p w14:paraId="034ED1CE" w14:textId="6D55633C" w:rsidR="2A259567" w:rsidRPr="00F65EAB" w:rsidRDefault="2A259567" w:rsidP="2A259567">
            <w:pPr>
              <w:cnfStyle w:val="000000100000" w:firstRow="0" w:lastRow="0" w:firstColumn="0" w:lastColumn="0" w:oddVBand="0" w:evenVBand="0" w:oddHBand="1" w:evenHBand="0" w:firstRowFirstColumn="0" w:firstRowLastColumn="0" w:lastRowFirstColumn="0" w:lastRowLastColumn="0"/>
              <w:rPr>
                <w:lang w:val="en-US"/>
              </w:rPr>
            </w:pPr>
            <w:r w:rsidRPr="2A259567">
              <w:rPr>
                <w:rFonts w:ascii="Calibri" w:eastAsia="Calibri" w:hAnsi="Calibri" w:cs="Calibri"/>
                <w:color w:val="000000" w:themeColor="text1"/>
                <w:sz w:val="21"/>
                <w:szCs w:val="21"/>
                <w:lang w:val="en-US"/>
              </w:rPr>
              <w:t>Ja, Net-Zero Asset Owner Alliance, Climate Action 100+</w:t>
            </w:r>
          </w:p>
        </w:tc>
        <w:tc>
          <w:tcPr>
            <w:tcW w:w="1800" w:type="dxa"/>
            <w:tcMar>
              <w:left w:w="108" w:type="dxa"/>
              <w:right w:w="108" w:type="dxa"/>
            </w:tcMar>
          </w:tcPr>
          <w:p w14:paraId="4B8ECE03" w14:textId="3C40EF9A"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Ja, Initiatief voor Net Zero Asset Managers, Klimaatactie 100+</w:t>
            </w:r>
          </w:p>
        </w:tc>
        <w:tc>
          <w:tcPr>
            <w:tcW w:w="1778" w:type="dxa"/>
            <w:tcMar>
              <w:left w:w="108" w:type="dxa"/>
              <w:right w:w="108" w:type="dxa"/>
            </w:tcMar>
          </w:tcPr>
          <w:p w14:paraId="2AA145F1" w14:textId="07FEE81D"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 xml:space="preserve">Ja, Klimaatactie 100+, Net Zero Asset Managers </w:t>
            </w:r>
            <w:proofErr w:type="spellStart"/>
            <w:r w:rsidRPr="2A259567">
              <w:rPr>
                <w:rFonts w:ascii="Calibri" w:eastAsia="Calibri" w:hAnsi="Calibri" w:cs="Calibri"/>
                <w:color w:val="000000" w:themeColor="text1"/>
                <w:sz w:val="21"/>
                <w:szCs w:val="21"/>
              </w:rPr>
              <w:t>Initiative</w:t>
            </w:r>
            <w:proofErr w:type="spellEnd"/>
          </w:p>
        </w:tc>
      </w:tr>
      <w:tr w:rsidR="2A259567" w14:paraId="44F6EC6C"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2670" w:type="dxa"/>
            <w:tcBorders>
              <w:top w:val="nil"/>
              <w:left w:val="nil"/>
              <w:bottom w:val="nil"/>
              <w:right w:val="single" w:sz="8" w:space="0" w:color="7F7F7F" w:themeColor="text1" w:themeTint="80"/>
            </w:tcBorders>
            <w:tcMar>
              <w:left w:w="108" w:type="dxa"/>
              <w:right w:w="108" w:type="dxa"/>
            </w:tcMar>
          </w:tcPr>
          <w:p w14:paraId="3F1F351E" w14:textId="401FD718" w:rsidR="2A259567" w:rsidRDefault="2A259567" w:rsidP="2A259567">
            <w:r w:rsidRPr="2A259567">
              <w:rPr>
                <w:rFonts w:ascii="Calibri" w:eastAsia="Calibri" w:hAnsi="Calibri" w:cs="Calibri"/>
                <w:sz w:val="21"/>
                <w:szCs w:val="21"/>
              </w:rPr>
              <w:t>Duurzaamheidsrapportage?</w:t>
            </w:r>
          </w:p>
        </w:tc>
        <w:tc>
          <w:tcPr>
            <w:tcW w:w="2700" w:type="dxa"/>
            <w:tcMar>
              <w:left w:w="108" w:type="dxa"/>
              <w:right w:w="108" w:type="dxa"/>
            </w:tcMar>
          </w:tcPr>
          <w:p w14:paraId="0945C560" w14:textId="52CC62DC"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Ja, regelmatig uitgebreide duurzaamheidsrapportages</w:t>
            </w:r>
          </w:p>
        </w:tc>
        <w:tc>
          <w:tcPr>
            <w:tcW w:w="1635" w:type="dxa"/>
            <w:tcMar>
              <w:left w:w="108" w:type="dxa"/>
              <w:right w:w="108" w:type="dxa"/>
            </w:tcMar>
          </w:tcPr>
          <w:p w14:paraId="4F06DC9E" w14:textId="2FDA9883"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Ja, jaarlijks</w:t>
            </w:r>
          </w:p>
        </w:tc>
        <w:tc>
          <w:tcPr>
            <w:tcW w:w="1800" w:type="dxa"/>
            <w:tcMar>
              <w:left w:w="108" w:type="dxa"/>
              <w:right w:w="108" w:type="dxa"/>
            </w:tcMar>
          </w:tcPr>
          <w:p w14:paraId="1B8ABC3B" w14:textId="39B707EA"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Ja</w:t>
            </w:r>
          </w:p>
        </w:tc>
        <w:tc>
          <w:tcPr>
            <w:tcW w:w="1778" w:type="dxa"/>
            <w:tcMar>
              <w:left w:w="108" w:type="dxa"/>
              <w:right w:w="108" w:type="dxa"/>
            </w:tcMar>
          </w:tcPr>
          <w:p w14:paraId="670D9045" w14:textId="5629A136"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Ja, jaarlijks</w:t>
            </w:r>
          </w:p>
        </w:tc>
      </w:tr>
      <w:tr w:rsidR="2A259567" w:rsidRPr="00EE37EA" w14:paraId="24546F27"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70" w:type="dxa"/>
            <w:tcBorders>
              <w:top w:val="nil"/>
              <w:left w:val="nil"/>
              <w:bottom w:val="nil"/>
              <w:right w:val="single" w:sz="8" w:space="0" w:color="7F7F7F" w:themeColor="text1" w:themeTint="80"/>
            </w:tcBorders>
            <w:tcMar>
              <w:left w:w="108" w:type="dxa"/>
              <w:right w:w="108" w:type="dxa"/>
            </w:tcMar>
          </w:tcPr>
          <w:p w14:paraId="66DA8382" w14:textId="1F5FC297" w:rsidR="2A259567" w:rsidRDefault="2A259567" w:rsidP="2A259567">
            <w:r w:rsidRPr="2A259567">
              <w:rPr>
                <w:rFonts w:ascii="Calibri" w:eastAsia="Calibri" w:hAnsi="Calibri" w:cs="Calibri"/>
                <w:color w:val="000000" w:themeColor="text1"/>
                <w:sz w:val="21"/>
                <w:szCs w:val="21"/>
              </w:rPr>
              <w:t>Voorbeelden duurzame fondsen</w:t>
            </w:r>
          </w:p>
        </w:tc>
        <w:tc>
          <w:tcPr>
            <w:tcW w:w="2700" w:type="dxa"/>
            <w:tcMar>
              <w:left w:w="108" w:type="dxa"/>
              <w:right w:w="108" w:type="dxa"/>
            </w:tcMar>
          </w:tcPr>
          <w:p w14:paraId="5A65A0DA" w14:textId="103631FC" w:rsidR="2A259567" w:rsidRPr="00F65EAB" w:rsidRDefault="2A259567" w:rsidP="2A259567">
            <w:pPr>
              <w:cnfStyle w:val="000000100000" w:firstRow="0" w:lastRow="0" w:firstColumn="0" w:lastColumn="0" w:oddVBand="0" w:evenVBand="0" w:oddHBand="1" w:evenHBand="0" w:firstRowFirstColumn="0" w:firstRowLastColumn="0" w:lastRowFirstColumn="0" w:lastRowLastColumn="0"/>
              <w:rPr>
                <w:lang w:val="en-US"/>
              </w:rPr>
            </w:pPr>
            <w:r w:rsidRPr="2A259567">
              <w:rPr>
                <w:rFonts w:ascii="Calibri" w:eastAsia="Calibri" w:hAnsi="Calibri" w:cs="Calibri"/>
                <w:color w:val="000000" w:themeColor="text1"/>
                <w:sz w:val="21"/>
                <w:szCs w:val="21"/>
                <w:lang w:val="en-US"/>
              </w:rPr>
              <w:t xml:space="preserve">Fidelity </w:t>
            </w:r>
            <w:proofErr w:type="spellStart"/>
            <w:r w:rsidRPr="2A259567">
              <w:rPr>
                <w:rFonts w:ascii="Calibri" w:eastAsia="Calibri" w:hAnsi="Calibri" w:cs="Calibri"/>
                <w:color w:val="000000" w:themeColor="text1"/>
                <w:sz w:val="21"/>
                <w:szCs w:val="21"/>
                <w:lang w:val="en-US"/>
              </w:rPr>
              <w:t>Duurzaam</w:t>
            </w:r>
            <w:proofErr w:type="spellEnd"/>
            <w:r w:rsidRPr="2A259567">
              <w:rPr>
                <w:rFonts w:ascii="Calibri" w:eastAsia="Calibri" w:hAnsi="Calibri" w:cs="Calibri"/>
                <w:color w:val="000000" w:themeColor="text1"/>
                <w:sz w:val="21"/>
                <w:szCs w:val="21"/>
                <w:lang w:val="en-US"/>
              </w:rPr>
              <w:t xml:space="preserve"> </w:t>
            </w:r>
            <w:proofErr w:type="spellStart"/>
            <w:r w:rsidRPr="2A259567">
              <w:rPr>
                <w:rFonts w:ascii="Calibri" w:eastAsia="Calibri" w:hAnsi="Calibri" w:cs="Calibri"/>
                <w:color w:val="000000" w:themeColor="text1"/>
                <w:sz w:val="21"/>
                <w:szCs w:val="21"/>
                <w:lang w:val="en-US"/>
              </w:rPr>
              <w:t>Internationaal</w:t>
            </w:r>
            <w:proofErr w:type="spellEnd"/>
            <w:r w:rsidRPr="2A259567">
              <w:rPr>
                <w:rFonts w:ascii="Calibri" w:eastAsia="Calibri" w:hAnsi="Calibri" w:cs="Calibri"/>
                <w:color w:val="000000" w:themeColor="text1"/>
                <w:sz w:val="21"/>
                <w:szCs w:val="21"/>
                <w:lang w:val="en-US"/>
              </w:rPr>
              <w:t xml:space="preserve"> </w:t>
            </w:r>
            <w:proofErr w:type="spellStart"/>
            <w:r w:rsidRPr="2A259567">
              <w:rPr>
                <w:rFonts w:ascii="Calibri" w:eastAsia="Calibri" w:hAnsi="Calibri" w:cs="Calibri"/>
                <w:color w:val="000000" w:themeColor="text1"/>
                <w:sz w:val="21"/>
                <w:szCs w:val="21"/>
                <w:lang w:val="en-US"/>
              </w:rPr>
              <w:t>Aandelenfonds</w:t>
            </w:r>
            <w:proofErr w:type="spellEnd"/>
            <w:r w:rsidRPr="2A259567">
              <w:rPr>
                <w:rFonts w:ascii="Calibri" w:eastAsia="Calibri" w:hAnsi="Calibri" w:cs="Calibri"/>
                <w:color w:val="000000" w:themeColor="text1"/>
                <w:sz w:val="21"/>
                <w:szCs w:val="21"/>
                <w:lang w:val="en-US"/>
              </w:rPr>
              <w:t xml:space="preserve"> (FSYRX), Fidelity Sustainable Emerging Markets </w:t>
            </w:r>
            <w:proofErr w:type="spellStart"/>
            <w:r w:rsidRPr="2A259567">
              <w:rPr>
                <w:rFonts w:ascii="Calibri" w:eastAsia="Calibri" w:hAnsi="Calibri" w:cs="Calibri"/>
                <w:color w:val="000000" w:themeColor="text1"/>
                <w:sz w:val="21"/>
                <w:szCs w:val="21"/>
                <w:lang w:val="en-US"/>
              </w:rPr>
              <w:t>Aandelenfonds</w:t>
            </w:r>
            <w:proofErr w:type="spellEnd"/>
            <w:r w:rsidRPr="2A259567">
              <w:rPr>
                <w:rFonts w:ascii="Calibri" w:eastAsia="Calibri" w:hAnsi="Calibri" w:cs="Calibri"/>
                <w:color w:val="000000" w:themeColor="text1"/>
                <w:sz w:val="21"/>
                <w:szCs w:val="21"/>
                <w:lang w:val="en-US"/>
              </w:rPr>
              <w:t xml:space="preserve"> (FSYJX), Fidelity Climate Active Fund (FCAEX)</w:t>
            </w:r>
          </w:p>
        </w:tc>
        <w:tc>
          <w:tcPr>
            <w:tcW w:w="1635" w:type="dxa"/>
            <w:tcMar>
              <w:left w:w="108" w:type="dxa"/>
              <w:right w:w="108" w:type="dxa"/>
            </w:tcMar>
          </w:tcPr>
          <w:p w14:paraId="0915FE83" w14:textId="606F8408" w:rsidR="2A259567" w:rsidRPr="00F65EAB" w:rsidRDefault="2A259567" w:rsidP="2A259567">
            <w:pPr>
              <w:cnfStyle w:val="000000100000" w:firstRow="0" w:lastRow="0" w:firstColumn="0" w:lastColumn="0" w:oddVBand="0" w:evenVBand="0" w:oddHBand="1" w:evenHBand="0" w:firstRowFirstColumn="0" w:firstRowLastColumn="0" w:lastRowFirstColumn="0" w:lastRowLastColumn="0"/>
              <w:rPr>
                <w:lang w:val="en-US"/>
              </w:rPr>
            </w:pPr>
            <w:r w:rsidRPr="2A259567">
              <w:rPr>
                <w:rFonts w:ascii="Calibri" w:eastAsia="Calibri" w:hAnsi="Calibri" w:cs="Calibri"/>
                <w:color w:val="000000" w:themeColor="text1"/>
                <w:sz w:val="21"/>
                <w:szCs w:val="21"/>
                <w:lang w:val="en-US"/>
              </w:rPr>
              <w:t>Allianz Global Sustainable Equity Fund, Allianz Clean Energy Fonds</w:t>
            </w:r>
          </w:p>
        </w:tc>
        <w:tc>
          <w:tcPr>
            <w:tcW w:w="1800" w:type="dxa"/>
            <w:tcMar>
              <w:left w:w="108" w:type="dxa"/>
              <w:right w:w="108" w:type="dxa"/>
            </w:tcMar>
          </w:tcPr>
          <w:p w14:paraId="382DB276" w14:textId="1CFC7AB2"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lang w:val="en-US"/>
              </w:rPr>
              <w:t xml:space="preserve">Vanguard FTSE Social Index Fonds, </w:t>
            </w:r>
            <w:proofErr w:type="spellStart"/>
            <w:r w:rsidRPr="2A259567">
              <w:rPr>
                <w:rFonts w:ascii="Calibri" w:eastAsia="Calibri" w:hAnsi="Calibri" w:cs="Calibri"/>
                <w:color w:val="000000" w:themeColor="text1"/>
                <w:sz w:val="21"/>
                <w:szCs w:val="21"/>
              </w:rPr>
              <w:t>Vanguard</w:t>
            </w:r>
            <w:proofErr w:type="spellEnd"/>
            <w:r w:rsidRPr="2A259567">
              <w:rPr>
                <w:rFonts w:ascii="Calibri" w:eastAsia="Calibri" w:hAnsi="Calibri" w:cs="Calibri"/>
                <w:color w:val="000000" w:themeColor="text1"/>
                <w:sz w:val="21"/>
                <w:szCs w:val="21"/>
              </w:rPr>
              <w:t xml:space="preserve"> Global ESG Select Aandelenfonds</w:t>
            </w:r>
          </w:p>
        </w:tc>
        <w:tc>
          <w:tcPr>
            <w:tcW w:w="1778" w:type="dxa"/>
            <w:tcMar>
              <w:left w:w="108" w:type="dxa"/>
              <w:right w:w="108" w:type="dxa"/>
            </w:tcMar>
          </w:tcPr>
          <w:p w14:paraId="08D05CDF" w14:textId="090576DF" w:rsidR="2A259567" w:rsidRPr="00F65EAB" w:rsidRDefault="2A259567" w:rsidP="2A259567">
            <w:pPr>
              <w:cnfStyle w:val="000000100000" w:firstRow="0" w:lastRow="0" w:firstColumn="0" w:lastColumn="0" w:oddVBand="0" w:evenVBand="0" w:oddHBand="1" w:evenHBand="0" w:firstRowFirstColumn="0" w:firstRowLastColumn="0" w:lastRowFirstColumn="0" w:lastRowLastColumn="0"/>
              <w:rPr>
                <w:lang w:val="en-US"/>
              </w:rPr>
            </w:pPr>
            <w:r w:rsidRPr="2A259567">
              <w:rPr>
                <w:rFonts w:ascii="Calibri" w:eastAsia="Calibri" w:hAnsi="Calibri" w:cs="Calibri"/>
                <w:color w:val="000000" w:themeColor="text1"/>
                <w:sz w:val="21"/>
                <w:szCs w:val="21"/>
                <w:lang w:val="en-US"/>
              </w:rPr>
              <w:t>BlackRock Global Impact Fund, BlackRock iShares ESG-</w:t>
            </w:r>
            <w:proofErr w:type="spellStart"/>
            <w:r w:rsidRPr="2A259567">
              <w:rPr>
                <w:rFonts w:ascii="Calibri" w:eastAsia="Calibri" w:hAnsi="Calibri" w:cs="Calibri"/>
                <w:color w:val="000000" w:themeColor="text1"/>
                <w:sz w:val="21"/>
                <w:szCs w:val="21"/>
                <w:lang w:val="en-US"/>
              </w:rPr>
              <w:t>bewuste</w:t>
            </w:r>
            <w:proofErr w:type="spellEnd"/>
            <w:r w:rsidRPr="2A259567">
              <w:rPr>
                <w:rFonts w:ascii="Calibri" w:eastAsia="Calibri" w:hAnsi="Calibri" w:cs="Calibri"/>
                <w:color w:val="000000" w:themeColor="text1"/>
                <w:sz w:val="21"/>
                <w:szCs w:val="21"/>
                <w:lang w:val="en-US"/>
              </w:rPr>
              <w:t xml:space="preserve"> MSCI EAFE ETF</w:t>
            </w:r>
          </w:p>
        </w:tc>
      </w:tr>
    </w:tbl>
    <w:p w14:paraId="12C02AE2" w14:textId="585A2F50" w:rsidR="32F1AED3" w:rsidRPr="00F65EAB" w:rsidRDefault="32F1AED3" w:rsidP="2A259567">
      <w:pPr>
        <w:spacing w:after="0"/>
        <w:rPr>
          <w:lang w:val="en-US"/>
        </w:rPr>
      </w:pPr>
      <w:r w:rsidRPr="2A259567">
        <w:rPr>
          <w:rFonts w:ascii="Calibri" w:eastAsia="Calibri" w:hAnsi="Calibri" w:cs="Calibri"/>
          <w:lang w:val="en-US"/>
        </w:rPr>
        <w:t xml:space="preserve"> </w:t>
      </w:r>
    </w:p>
    <w:p w14:paraId="5B780428" w14:textId="4DB00DEA" w:rsidR="32F1AED3" w:rsidRPr="00F65EAB" w:rsidRDefault="32F1AED3" w:rsidP="2A259567">
      <w:pPr>
        <w:spacing w:after="0"/>
        <w:rPr>
          <w:lang w:val="en-US"/>
        </w:rPr>
      </w:pPr>
      <w:r w:rsidRPr="2A259567">
        <w:rPr>
          <w:rFonts w:ascii="Calibri" w:eastAsia="Calibri" w:hAnsi="Calibri" w:cs="Calibri"/>
          <w:lang w:val="en-US"/>
        </w:rPr>
        <w:t xml:space="preserve"> </w:t>
      </w:r>
    </w:p>
    <w:p w14:paraId="4558DE4E" w14:textId="656B96C7" w:rsidR="32F1AED3" w:rsidRPr="00F65EAB" w:rsidRDefault="32F1AED3" w:rsidP="2A259567">
      <w:pPr>
        <w:spacing w:after="0"/>
        <w:rPr>
          <w:lang w:val="en-US"/>
        </w:rPr>
      </w:pPr>
      <w:r w:rsidRPr="2A259567">
        <w:rPr>
          <w:rFonts w:ascii="Calibri" w:eastAsia="Calibri" w:hAnsi="Calibri" w:cs="Calibri"/>
          <w:lang w:val="en-US"/>
        </w:rPr>
        <w:t xml:space="preserve"> </w:t>
      </w:r>
    </w:p>
    <w:p w14:paraId="203015DB" w14:textId="02C2B898" w:rsidR="32F1AED3" w:rsidRPr="00F65EAB" w:rsidRDefault="32F1AED3" w:rsidP="2A259567">
      <w:pPr>
        <w:spacing w:after="0"/>
        <w:rPr>
          <w:lang w:val="en-US"/>
        </w:rPr>
      </w:pPr>
      <w:r w:rsidRPr="2A259567">
        <w:rPr>
          <w:rFonts w:ascii="Calibri" w:eastAsia="Calibri" w:hAnsi="Calibri" w:cs="Calibri"/>
          <w:lang w:val="en-US"/>
        </w:rPr>
        <w:t xml:space="preserve"> </w:t>
      </w:r>
    </w:p>
    <w:p w14:paraId="437129C7" w14:textId="30CA3723" w:rsidR="32F1AED3" w:rsidRDefault="21D74ABE" w:rsidP="00E1671C">
      <w:pPr>
        <w:pStyle w:val="Heading3"/>
        <w:numPr>
          <w:ilvl w:val="0"/>
          <w:numId w:val="9"/>
        </w:numPr>
        <w:spacing w:before="0" w:after="0"/>
        <w:rPr>
          <w:rFonts w:ascii="Calibri" w:eastAsia="Calibri" w:hAnsi="Calibri" w:cs="Calibri"/>
          <w:color w:val="1F3763"/>
          <w:sz w:val="24"/>
          <w:szCs w:val="24"/>
          <w:lang w:val="en-US"/>
        </w:rPr>
      </w:pPr>
      <w:bookmarkStart w:id="28" w:name="_Toc1757282778"/>
      <w:r w:rsidRPr="6D5ED2DD">
        <w:rPr>
          <w:rFonts w:ascii="Calibri" w:eastAsia="Calibri" w:hAnsi="Calibri" w:cs="Calibri"/>
          <w:color w:val="1F3763"/>
          <w:sz w:val="24"/>
          <w:szCs w:val="24"/>
          <w:lang w:val="en-US"/>
        </w:rPr>
        <w:t>Governance (Bestuur en transparantie)</w:t>
      </w:r>
      <w:bookmarkEnd w:id="28"/>
    </w:p>
    <w:p w14:paraId="0C3D1513" w14:textId="75C32D18" w:rsidR="32F1AED3" w:rsidRDefault="32F1AED3" w:rsidP="2A259567">
      <w:pPr>
        <w:spacing w:after="0"/>
      </w:pPr>
      <w:r w:rsidRPr="2A259567">
        <w:rPr>
          <w:rFonts w:ascii="Calibri" w:eastAsia="Calibri" w:hAnsi="Calibri" w:cs="Calibri"/>
          <w:lang w:val="en-US"/>
        </w:rPr>
        <w:t xml:space="preserve"> </w:t>
      </w:r>
    </w:p>
    <w:tbl>
      <w:tblPr>
        <w:tblStyle w:val="PlainTable3"/>
        <w:tblW w:w="0" w:type="auto"/>
        <w:tblInd w:w="-1140" w:type="dxa"/>
        <w:tblLook w:val="04A0" w:firstRow="1" w:lastRow="0" w:firstColumn="1" w:lastColumn="0" w:noHBand="0" w:noVBand="1"/>
      </w:tblPr>
      <w:tblGrid>
        <w:gridCol w:w="2433"/>
        <w:gridCol w:w="1728"/>
        <w:gridCol w:w="2422"/>
        <w:gridCol w:w="1594"/>
        <w:gridCol w:w="1989"/>
      </w:tblGrid>
      <w:tr w:rsidR="2A259567" w14:paraId="7E2F6090" w14:textId="77777777" w:rsidTr="2A25956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974" w:type="dxa"/>
            <w:tcBorders>
              <w:top w:val="nil"/>
              <w:left w:val="nil"/>
              <w:bottom w:val="single" w:sz="8" w:space="0" w:color="7F7F7F" w:themeColor="text1" w:themeTint="80"/>
            </w:tcBorders>
            <w:tcMar>
              <w:left w:w="108" w:type="dxa"/>
              <w:right w:w="108" w:type="dxa"/>
            </w:tcMar>
          </w:tcPr>
          <w:p w14:paraId="493F723F" w14:textId="5F1CB7EE" w:rsidR="2A259567" w:rsidRDefault="2A259567" w:rsidP="2A259567">
            <w:r w:rsidRPr="2A259567">
              <w:rPr>
                <w:rFonts w:ascii="Calibri" w:eastAsia="Calibri" w:hAnsi="Calibri" w:cs="Calibri"/>
                <w:sz w:val="20"/>
                <w:szCs w:val="20"/>
                <w:lang w:val="en-US"/>
              </w:rPr>
              <w:t>Vraag</w:t>
            </w:r>
          </w:p>
        </w:tc>
        <w:tc>
          <w:tcPr>
            <w:tcW w:w="1985" w:type="dxa"/>
            <w:tcBorders>
              <w:top w:val="nil"/>
              <w:left w:val="nil"/>
              <w:bottom w:val="single" w:sz="8" w:space="0" w:color="7F7F7F" w:themeColor="text1" w:themeTint="80"/>
              <w:right w:val="nil"/>
            </w:tcBorders>
            <w:tcMar>
              <w:left w:w="108" w:type="dxa"/>
              <w:right w:w="108" w:type="dxa"/>
            </w:tcMar>
          </w:tcPr>
          <w:p w14:paraId="358C6BB2" w14:textId="0372D6D5"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0"/>
                <w:szCs w:val="20"/>
                <w:lang w:val="en-US"/>
              </w:rPr>
              <w:t>Fidelity</w:t>
            </w:r>
          </w:p>
        </w:tc>
        <w:tc>
          <w:tcPr>
            <w:tcW w:w="2741" w:type="dxa"/>
            <w:tcBorders>
              <w:top w:val="nil"/>
              <w:left w:val="nil"/>
              <w:bottom w:val="single" w:sz="8" w:space="0" w:color="7F7F7F" w:themeColor="text1" w:themeTint="80"/>
              <w:right w:val="nil"/>
            </w:tcBorders>
            <w:tcMar>
              <w:left w:w="108" w:type="dxa"/>
              <w:right w:w="108" w:type="dxa"/>
            </w:tcMar>
          </w:tcPr>
          <w:p w14:paraId="66EABF97" w14:textId="17C68769"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0"/>
                <w:szCs w:val="20"/>
                <w:lang w:val="en-US"/>
              </w:rPr>
              <w:t>Allianz Group</w:t>
            </w:r>
          </w:p>
        </w:tc>
        <w:tc>
          <w:tcPr>
            <w:tcW w:w="1701" w:type="dxa"/>
            <w:tcBorders>
              <w:top w:val="nil"/>
              <w:left w:val="nil"/>
              <w:bottom w:val="single" w:sz="8" w:space="0" w:color="7F7F7F" w:themeColor="text1" w:themeTint="80"/>
              <w:right w:val="nil"/>
            </w:tcBorders>
            <w:tcMar>
              <w:left w:w="108" w:type="dxa"/>
              <w:right w:w="108" w:type="dxa"/>
            </w:tcMar>
          </w:tcPr>
          <w:p w14:paraId="484DD3E0" w14:textId="4523F0F0"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0"/>
                <w:szCs w:val="20"/>
                <w:lang w:val="en-US"/>
              </w:rPr>
              <w:t>Vanguard Group</w:t>
            </w:r>
          </w:p>
        </w:tc>
        <w:tc>
          <w:tcPr>
            <w:tcW w:w="2190" w:type="dxa"/>
            <w:tcBorders>
              <w:top w:val="nil"/>
              <w:left w:val="nil"/>
              <w:bottom w:val="single" w:sz="8" w:space="0" w:color="7F7F7F" w:themeColor="text1" w:themeTint="80"/>
              <w:right w:val="nil"/>
            </w:tcBorders>
            <w:tcMar>
              <w:left w:w="108" w:type="dxa"/>
              <w:right w:w="108" w:type="dxa"/>
            </w:tcMar>
          </w:tcPr>
          <w:p w14:paraId="01CFC151" w14:textId="0ECD3905"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0"/>
                <w:szCs w:val="20"/>
                <w:lang w:val="en-US"/>
              </w:rPr>
              <w:t>Blackrock</w:t>
            </w:r>
          </w:p>
        </w:tc>
      </w:tr>
      <w:tr w:rsidR="2A259567" w14:paraId="34A38A7F"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4" w:type="dxa"/>
            <w:tcBorders>
              <w:top w:val="single" w:sz="8" w:space="0" w:color="7F7F7F" w:themeColor="text1" w:themeTint="80"/>
              <w:left w:val="nil"/>
              <w:bottom w:val="nil"/>
              <w:right w:val="single" w:sz="8" w:space="0" w:color="7F7F7F" w:themeColor="text1" w:themeTint="80"/>
            </w:tcBorders>
            <w:tcMar>
              <w:left w:w="108" w:type="dxa"/>
              <w:right w:w="108" w:type="dxa"/>
            </w:tcMar>
          </w:tcPr>
          <w:p w14:paraId="150A8BF6" w14:textId="5EB7CDD3" w:rsidR="2A259567" w:rsidRDefault="2A259567" w:rsidP="2A259567">
            <w:r w:rsidRPr="2A259567">
              <w:rPr>
                <w:rFonts w:ascii="Calibri" w:eastAsia="Calibri" w:hAnsi="Calibri" w:cs="Calibri"/>
                <w:color w:val="000000" w:themeColor="text1"/>
                <w:sz w:val="20"/>
                <w:szCs w:val="20"/>
                <w:lang w:val="en-US"/>
              </w:rPr>
              <w:t>Transparantie &amp; kostenstructuur</w:t>
            </w:r>
          </w:p>
        </w:tc>
        <w:tc>
          <w:tcPr>
            <w:tcW w:w="1985" w:type="dxa"/>
            <w:tcMar>
              <w:left w:w="108" w:type="dxa"/>
              <w:right w:w="108" w:type="dxa"/>
            </w:tcMar>
          </w:tcPr>
          <w:p w14:paraId="5F0C52CC" w14:textId="4A5CB4DC"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0"/>
                <w:szCs w:val="20"/>
              </w:rPr>
              <w:t>Transparante rapportages, digitale tools, uitgebreide info voor beleggers</w:t>
            </w:r>
          </w:p>
        </w:tc>
        <w:tc>
          <w:tcPr>
            <w:tcW w:w="2741" w:type="dxa"/>
            <w:tcMar>
              <w:left w:w="108" w:type="dxa"/>
              <w:right w:w="108" w:type="dxa"/>
            </w:tcMar>
          </w:tcPr>
          <w:p w14:paraId="0BCBF64F" w14:textId="2CEB03E1"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0"/>
                <w:szCs w:val="20"/>
              </w:rPr>
              <w:t>Transparant via duurzaamheids-</w:t>
            </w:r>
          </w:p>
          <w:p w14:paraId="58145E1A" w14:textId="02E1E7E3"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0"/>
                <w:szCs w:val="20"/>
              </w:rPr>
              <w:t>rapporten en fondsinformatie</w:t>
            </w:r>
          </w:p>
        </w:tc>
        <w:tc>
          <w:tcPr>
            <w:tcW w:w="1701" w:type="dxa"/>
            <w:tcMar>
              <w:left w:w="108" w:type="dxa"/>
              <w:right w:w="108" w:type="dxa"/>
            </w:tcMar>
          </w:tcPr>
          <w:p w14:paraId="21B1FFCF" w14:textId="659858C9"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0"/>
                <w:szCs w:val="20"/>
              </w:rPr>
              <w:t>Zeer transparant en duidelijk over kosten en rapportage</w:t>
            </w:r>
          </w:p>
        </w:tc>
        <w:tc>
          <w:tcPr>
            <w:tcW w:w="2190" w:type="dxa"/>
            <w:tcMar>
              <w:left w:w="108" w:type="dxa"/>
              <w:right w:w="108" w:type="dxa"/>
            </w:tcMar>
          </w:tcPr>
          <w:p w14:paraId="46DD919D" w14:textId="73A7A934"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0"/>
                <w:szCs w:val="20"/>
              </w:rPr>
              <w:t>Uitgebreide transparantie in rapporten en beleggerscommunicatie</w:t>
            </w:r>
          </w:p>
        </w:tc>
      </w:tr>
      <w:tr w:rsidR="2A259567" w14:paraId="3ED21CE9"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2974" w:type="dxa"/>
            <w:tcBorders>
              <w:top w:val="nil"/>
              <w:left w:val="nil"/>
              <w:bottom w:val="nil"/>
              <w:right w:val="single" w:sz="8" w:space="0" w:color="7F7F7F" w:themeColor="text1" w:themeTint="80"/>
            </w:tcBorders>
            <w:tcMar>
              <w:left w:w="108" w:type="dxa"/>
              <w:right w:w="108" w:type="dxa"/>
            </w:tcMar>
          </w:tcPr>
          <w:p w14:paraId="341A06BA" w14:textId="0CFB36C4" w:rsidR="2A259567" w:rsidRDefault="2A259567" w:rsidP="2A259567">
            <w:r w:rsidRPr="2A259567">
              <w:rPr>
                <w:rFonts w:ascii="Calibri" w:eastAsia="Calibri" w:hAnsi="Calibri" w:cs="Calibri"/>
                <w:sz w:val="20"/>
                <w:szCs w:val="20"/>
                <w:lang w:val="en-US"/>
              </w:rPr>
              <w:t>Onafhankelijk toezicht</w:t>
            </w:r>
          </w:p>
        </w:tc>
        <w:tc>
          <w:tcPr>
            <w:tcW w:w="1985" w:type="dxa"/>
            <w:tcMar>
              <w:left w:w="108" w:type="dxa"/>
              <w:right w:w="108" w:type="dxa"/>
            </w:tcMar>
          </w:tcPr>
          <w:p w14:paraId="0E4EF6F5" w14:textId="4F875671" w:rsidR="2A259567" w:rsidRDefault="2A259567" w:rsidP="2A259567">
            <w:pPr>
              <w:cnfStyle w:val="000000000000" w:firstRow="0" w:lastRow="0" w:firstColumn="0" w:lastColumn="0" w:oddVBand="0" w:evenVBand="0" w:oddHBand="0" w:evenHBand="0" w:firstRowFirstColumn="0" w:firstRowLastColumn="0" w:lastRowFirstColumn="0" w:lastRowLastColumn="0"/>
            </w:pPr>
            <w:proofErr w:type="spellStart"/>
            <w:r w:rsidRPr="2A259567">
              <w:rPr>
                <w:rFonts w:ascii="Calibri" w:eastAsia="Calibri" w:hAnsi="Calibri" w:cs="Calibri"/>
                <w:sz w:val="20"/>
                <w:szCs w:val="20"/>
              </w:rPr>
              <w:t>Fidelity</w:t>
            </w:r>
            <w:proofErr w:type="spellEnd"/>
            <w:r w:rsidRPr="2A259567">
              <w:rPr>
                <w:rFonts w:ascii="Calibri" w:eastAsia="Calibri" w:hAnsi="Calibri" w:cs="Calibri"/>
                <w:sz w:val="20"/>
                <w:szCs w:val="20"/>
              </w:rPr>
              <w:t xml:space="preserve"> heeft een Raad van Bestuur die toezicht houdt op </w:t>
            </w:r>
            <w:proofErr w:type="spellStart"/>
            <w:r w:rsidRPr="2A259567">
              <w:rPr>
                <w:rFonts w:ascii="Calibri" w:eastAsia="Calibri" w:hAnsi="Calibri" w:cs="Calibri"/>
                <w:sz w:val="20"/>
                <w:szCs w:val="20"/>
              </w:rPr>
              <w:t>Fidelity</w:t>
            </w:r>
            <w:proofErr w:type="spellEnd"/>
            <w:r w:rsidRPr="2A259567">
              <w:rPr>
                <w:rFonts w:ascii="Calibri" w:eastAsia="Calibri" w:hAnsi="Calibri" w:cs="Calibri"/>
                <w:sz w:val="20"/>
                <w:szCs w:val="20"/>
              </w:rPr>
              <w:t xml:space="preserve"> Funds. Daarnaast heeft </w:t>
            </w:r>
            <w:proofErr w:type="spellStart"/>
            <w:r w:rsidRPr="2A259567">
              <w:rPr>
                <w:rFonts w:ascii="Calibri" w:eastAsia="Calibri" w:hAnsi="Calibri" w:cs="Calibri"/>
                <w:sz w:val="20"/>
                <w:szCs w:val="20"/>
              </w:rPr>
              <w:t>Fidelity</w:t>
            </w:r>
            <w:proofErr w:type="spellEnd"/>
            <w:r w:rsidRPr="2A259567">
              <w:rPr>
                <w:rFonts w:ascii="Calibri" w:eastAsia="Calibri" w:hAnsi="Calibri" w:cs="Calibri"/>
                <w:sz w:val="20"/>
                <w:szCs w:val="20"/>
              </w:rPr>
              <w:t xml:space="preserve"> International een Raad van Bestuur en een Raad van Commissarissen met onafhankelijke leden</w:t>
            </w:r>
          </w:p>
        </w:tc>
        <w:tc>
          <w:tcPr>
            <w:tcW w:w="2741" w:type="dxa"/>
            <w:tcMar>
              <w:left w:w="108" w:type="dxa"/>
              <w:right w:w="108" w:type="dxa"/>
            </w:tcMar>
          </w:tcPr>
          <w:p w14:paraId="361AFFE4" w14:textId="0FF74A64"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0"/>
                <w:szCs w:val="20"/>
              </w:rPr>
              <w:t>Allianz heeft een Raad van Bestuur en een Raad van Commissarissen (Raad van Commissarissen) die toezicht houdt op het management en de strategie</w:t>
            </w:r>
          </w:p>
        </w:tc>
        <w:tc>
          <w:tcPr>
            <w:tcW w:w="1701" w:type="dxa"/>
            <w:tcMar>
              <w:left w:w="108" w:type="dxa"/>
              <w:right w:w="108" w:type="dxa"/>
            </w:tcMar>
          </w:tcPr>
          <w:p w14:paraId="62F7DCEB" w14:textId="60E56925" w:rsidR="2A259567" w:rsidRDefault="2A259567" w:rsidP="2A259567">
            <w:pPr>
              <w:cnfStyle w:val="000000000000" w:firstRow="0" w:lastRow="0" w:firstColumn="0" w:lastColumn="0" w:oddVBand="0" w:evenVBand="0" w:oddHBand="0" w:evenHBand="0" w:firstRowFirstColumn="0" w:firstRowLastColumn="0" w:lastRowFirstColumn="0" w:lastRowLastColumn="0"/>
            </w:pPr>
            <w:proofErr w:type="spellStart"/>
            <w:r w:rsidRPr="2A259567">
              <w:rPr>
                <w:rFonts w:ascii="Calibri" w:eastAsia="Calibri" w:hAnsi="Calibri" w:cs="Calibri"/>
                <w:sz w:val="20"/>
                <w:szCs w:val="20"/>
              </w:rPr>
              <w:t>Vanguard</w:t>
            </w:r>
            <w:proofErr w:type="spellEnd"/>
            <w:r w:rsidRPr="2A259567">
              <w:rPr>
                <w:rFonts w:ascii="Calibri" w:eastAsia="Calibri" w:hAnsi="Calibri" w:cs="Calibri"/>
                <w:sz w:val="20"/>
                <w:szCs w:val="20"/>
              </w:rPr>
              <w:t xml:space="preserve"> heeft een formele Raad van Bestuur die toezicht houdt op de strategie en </w:t>
            </w:r>
            <w:proofErr w:type="spellStart"/>
            <w:r w:rsidRPr="2A259567">
              <w:rPr>
                <w:rFonts w:ascii="Calibri" w:eastAsia="Calibri" w:hAnsi="Calibri" w:cs="Calibri"/>
                <w:sz w:val="20"/>
                <w:szCs w:val="20"/>
              </w:rPr>
              <w:t>governance</w:t>
            </w:r>
            <w:proofErr w:type="spellEnd"/>
            <w:r w:rsidRPr="2A259567">
              <w:rPr>
                <w:rFonts w:ascii="Calibri" w:eastAsia="Calibri" w:hAnsi="Calibri" w:cs="Calibri"/>
                <w:sz w:val="20"/>
                <w:szCs w:val="20"/>
              </w:rPr>
              <w:t>. Daarnaast bestaan er adviescommissies.</w:t>
            </w:r>
          </w:p>
        </w:tc>
        <w:tc>
          <w:tcPr>
            <w:tcW w:w="2190" w:type="dxa"/>
            <w:tcMar>
              <w:left w:w="108" w:type="dxa"/>
              <w:right w:w="108" w:type="dxa"/>
            </w:tcMar>
          </w:tcPr>
          <w:p w14:paraId="0CA99F82" w14:textId="647F0F26" w:rsidR="2A259567" w:rsidRDefault="2A259567" w:rsidP="2A259567">
            <w:pPr>
              <w:cnfStyle w:val="000000000000" w:firstRow="0" w:lastRow="0" w:firstColumn="0" w:lastColumn="0" w:oddVBand="0" w:evenVBand="0" w:oddHBand="0" w:evenHBand="0" w:firstRowFirstColumn="0" w:firstRowLastColumn="0" w:lastRowFirstColumn="0" w:lastRowLastColumn="0"/>
            </w:pPr>
            <w:proofErr w:type="spellStart"/>
            <w:r w:rsidRPr="2A259567">
              <w:rPr>
                <w:rFonts w:ascii="Calibri" w:eastAsia="Calibri" w:hAnsi="Calibri" w:cs="Calibri"/>
                <w:sz w:val="20"/>
                <w:szCs w:val="20"/>
              </w:rPr>
              <w:t>BlackRock</w:t>
            </w:r>
            <w:proofErr w:type="spellEnd"/>
            <w:r w:rsidRPr="2A259567">
              <w:rPr>
                <w:rFonts w:ascii="Calibri" w:eastAsia="Calibri" w:hAnsi="Calibri" w:cs="Calibri"/>
                <w:sz w:val="20"/>
                <w:szCs w:val="20"/>
              </w:rPr>
              <w:t xml:space="preserve"> heeft een Raad van Bestuur die regelmatig bestuur en toezicht hanteert, en daarnaast bestaan er diverse comités voor risicobeheer en compliance</w:t>
            </w:r>
          </w:p>
        </w:tc>
      </w:tr>
      <w:tr w:rsidR="2A259567" w14:paraId="16B1A93A"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4" w:type="dxa"/>
            <w:tcBorders>
              <w:top w:val="nil"/>
              <w:left w:val="nil"/>
              <w:bottom w:val="nil"/>
              <w:right w:val="single" w:sz="8" w:space="0" w:color="7F7F7F" w:themeColor="text1" w:themeTint="80"/>
            </w:tcBorders>
            <w:tcMar>
              <w:left w:w="108" w:type="dxa"/>
              <w:right w:w="108" w:type="dxa"/>
            </w:tcMar>
          </w:tcPr>
          <w:p w14:paraId="7D27D9F4" w14:textId="64330099" w:rsidR="2A259567" w:rsidRDefault="2A259567" w:rsidP="2A259567">
            <w:r w:rsidRPr="2A259567">
              <w:rPr>
                <w:rFonts w:ascii="Calibri" w:eastAsia="Calibri" w:hAnsi="Calibri" w:cs="Calibri"/>
                <w:color w:val="000000" w:themeColor="text1"/>
                <w:sz w:val="20"/>
                <w:szCs w:val="20"/>
              </w:rPr>
              <w:t>Voorkomen</w:t>
            </w:r>
          </w:p>
          <w:p w14:paraId="1F4914AB" w14:textId="6CEF53A2" w:rsidR="2A259567" w:rsidRDefault="2A259567" w:rsidP="2A259567">
            <w:r w:rsidRPr="2A259567">
              <w:rPr>
                <w:rFonts w:ascii="Calibri" w:eastAsia="Calibri" w:hAnsi="Calibri" w:cs="Calibri"/>
                <w:color w:val="000000" w:themeColor="text1"/>
                <w:sz w:val="20"/>
                <w:szCs w:val="20"/>
              </w:rPr>
              <w:t>Belangenverstrengeling</w:t>
            </w:r>
          </w:p>
        </w:tc>
        <w:tc>
          <w:tcPr>
            <w:tcW w:w="1985" w:type="dxa"/>
            <w:tcMar>
              <w:left w:w="108" w:type="dxa"/>
              <w:right w:w="108" w:type="dxa"/>
            </w:tcMar>
          </w:tcPr>
          <w:p w14:paraId="5D825279" w14:textId="5885CE2A" w:rsidR="2A259567" w:rsidRDefault="2A259567" w:rsidP="2A259567">
            <w:pPr>
              <w:cnfStyle w:val="000000100000" w:firstRow="0" w:lastRow="0" w:firstColumn="0" w:lastColumn="0" w:oddVBand="0" w:evenVBand="0" w:oddHBand="1" w:evenHBand="0" w:firstRowFirstColumn="0" w:firstRowLastColumn="0" w:lastRowFirstColumn="0" w:lastRowLastColumn="0"/>
            </w:pPr>
            <w:proofErr w:type="spellStart"/>
            <w:r w:rsidRPr="2A259567">
              <w:rPr>
                <w:rFonts w:ascii="Calibri" w:eastAsia="Calibri" w:hAnsi="Calibri" w:cs="Calibri"/>
                <w:color w:val="000000" w:themeColor="text1"/>
                <w:sz w:val="20"/>
                <w:szCs w:val="20"/>
              </w:rPr>
              <w:t>Fidelity</w:t>
            </w:r>
            <w:proofErr w:type="spellEnd"/>
            <w:r w:rsidRPr="2A259567">
              <w:rPr>
                <w:rFonts w:ascii="Calibri" w:eastAsia="Calibri" w:hAnsi="Calibri" w:cs="Calibri"/>
                <w:color w:val="000000" w:themeColor="text1"/>
                <w:sz w:val="20"/>
                <w:szCs w:val="20"/>
              </w:rPr>
              <w:t xml:space="preserve"> hanteert strikte gedragscodes en beleidsregels tegen belangenversterking, inclusief meldingsprocedures en toezicht via onafhankelijke comités</w:t>
            </w:r>
          </w:p>
        </w:tc>
        <w:tc>
          <w:tcPr>
            <w:tcW w:w="2741" w:type="dxa"/>
            <w:tcMar>
              <w:left w:w="108" w:type="dxa"/>
              <w:right w:w="108" w:type="dxa"/>
            </w:tcMar>
          </w:tcPr>
          <w:p w14:paraId="6556C332" w14:textId="7B8F476E"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0"/>
                <w:szCs w:val="20"/>
              </w:rPr>
              <w:t>Allianz heeft een formeel belangenverstrengelingsbeleid met duidelijke interne scheidingen en rapportageplicht.</w:t>
            </w:r>
          </w:p>
        </w:tc>
        <w:tc>
          <w:tcPr>
            <w:tcW w:w="1701" w:type="dxa"/>
            <w:tcMar>
              <w:left w:w="108" w:type="dxa"/>
              <w:right w:w="108" w:type="dxa"/>
            </w:tcMar>
          </w:tcPr>
          <w:p w14:paraId="2C1CDAF7" w14:textId="711AB8E6" w:rsidR="2A259567" w:rsidRDefault="2A259567" w:rsidP="2A259567">
            <w:pPr>
              <w:cnfStyle w:val="000000100000" w:firstRow="0" w:lastRow="0" w:firstColumn="0" w:lastColumn="0" w:oddVBand="0" w:evenVBand="0" w:oddHBand="1" w:evenHBand="0" w:firstRowFirstColumn="0" w:firstRowLastColumn="0" w:lastRowFirstColumn="0" w:lastRowLastColumn="0"/>
            </w:pPr>
            <w:proofErr w:type="spellStart"/>
            <w:r w:rsidRPr="2A259567">
              <w:rPr>
                <w:rFonts w:ascii="Calibri" w:eastAsia="Calibri" w:hAnsi="Calibri" w:cs="Calibri"/>
                <w:color w:val="000000" w:themeColor="text1"/>
                <w:sz w:val="20"/>
                <w:szCs w:val="20"/>
              </w:rPr>
              <w:t>Vanguard</w:t>
            </w:r>
            <w:proofErr w:type="spellEnd"/>
            <w:r w:rsidRPr="2A259567">
              <w:rPr>
                <w:rFonts w:ascii="Calibri" w:eastAsia="Calibri" w:hAnsi="Calibri" w:cs="Calibri"/>
                <w:color w:val="000000" w:themeColor="text1"/>
                <w:sz w:val="20"/>
                <w:szCs w:val="20"/>
              </w:rPr>
              <w:t xml:space="preserve"> heeft interne regels, compliance-teams en gescheiden functies om belangenconflicten te voorkomen</w:t>
            </w:r>
          </w:p>
        </w:tc>
        <w:tc>
          <w:tcPr>
            <w:tcW w:w="2190" w:type="dxa"/>
            <w:tcMar>
              <w:left w:w="108" w:type="dxa"/>
              <w:right w:w="108" w:type="dxa"/>
            </w:tcMar>
          </w:tcPr>
          <w:p w14:paraId="45A5EFE1" w14:textId="420492B6" w:rsidR="2A259567" w:rsidRDefault="2A259567" w:rsidP="2A259567">
            <w:pPr>
              <w:cnfStyle w:val="000000100000" w:firstRow="0" w:lastRow="0" w:firstColumn="0" w:lastColumn="0" w:oddVBand="0" w:evenVBand="0" w:oddHBand="1" w:evenHBand="0" w:firstRowFirstColumn="0" w:firstRowLastColumn="0" w:lastRowFirstColumn="0" w:lastRowLastColumn="0"/>
            </w:pPr>
            <w:proofErr w:type="spellStart"/>
            <w:r w:rsidRPr="2A259567">
              <w:rPr>
                <w:rFonts w:ascii="Calibri" w:eastAsia="Calibri" w:hAnsi="Calibri" w:cs="Calibri"/>
                <w:color w:val="000000" w:themeColor="text1"/>
                <w:sz w:val="20"/>
                <w:szCs w:val="20"/>
              </w:rPr>
              <w:t>BlackRock</w:t>
            </w:r>
            <w:proofErr w:type="spellEnd"/>
            <w:r w:rsidRPr="2A259567">
              <w:rPr>
                <w:rFonts w:ascii="Calibri" w:eastAsia="Calibri" w:hAnsi="Calibri" w:cs="Calibri"/>
                <w:color w:val="000000" w:themeColor="text1"/>
                <w:sz w:val="20"/>
                <w:szCs w:val="20"/>
              </w:rPr>
              <w:t xml:space="preserve"> implementeert beleid en procedures om belangenversterking te vermijden, met interne toetsing en onafhankelijke bestuurscommissies</w:t>
            </w:r>
          </w:p>
        </w:tc>
      </w:tr>
      <w:tr w:rsidR="2A259567" w14:paraId="0BC0A448"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2974" w:type="dxa"/>
            <w:tcBorders>
              <w:top w:val="nil"/>
              <w:left w:val="nil"/>
              <w:bottom w:val="nil"/>
              <w:right w:val="single" w:sz="8" w:space="0" w:color="7F7F7F" w:themeColor="text1" w:themeTint="80"/>
            </w:tcBorders>
            <w:tcMar>
              <w:left w:w="108" w:type="dxa"/>
              <w:right w:w="108" w:type="dxa"/>
            </w:tcMar>
          </w:tcPr>
          <w:p w14:paraId="26453505" w14:textId="54F9CE91" w:rsidR="2A259567" w:rsidRDefault="2A259567" w:rsidP="2A259567">
            <w:r w:rsidRPr="2A259567">
              <w:rPr>
                <w:rFonts w:ascii="Calibri" w:eastAsia="Calibri" w:hAnsi="Calibri" w:cs="Calibri"/>
                <w:sz w:val="20"/>
                <w:szCs w:val="20"/>
              </w:rPr>
              <w:t>Communicatie met</w:t>
            </w:r>
          </w:p>
          <w:p w14:paraId="1D0D23B6" w14:textId="46260F30" w:rsidR="2A259567" w:rsidRDefault="2A259567" w:rsidP="2A259567">
            <w:r w:rsidRPr="2A259567">
              <w:rPr>
                <w:rFonts w:ascii="Calibri" w:eastAsia="Calibri" w:hAnsi="Calibri" w:cs="Calibri"/>
                <w:sz w:val="20"/>
                <w:szCs w:val="20"/>
              </w:rPr>
              <w:t>klanten/toezichthouders</w:t>
            </w:r>
          </w:p>
        </w:tc>
        <w:tc>
          <w:tcPr>
            <w:tcW w:w="1985" w:type="dxa"/>
            <w:tcMar>
              <w:left w:w="108" w:type="dxa"/>
              <w:right w:w="108" w:type="dxa"/>
            </w:tcMar>
          </w:tcPr>
          <w:p w14:paraId="14937BFC" w14:textId="0DC581EC" w:rsidR="2A259567" w:rsidRDefault="2A259567" w:rsidP="2A259567">
            <w:pPr>
              <w:cnfStyle w:val="000000000000" w:firstRow="0" w:lastRow="0" w:firstColumn="0" w:lastColumn="0" w:oddVBand="0" w:evenVBand="0" w:oddHBand="0" w:evenHBand="0" w:firstRowFirstColumn="0" w:firstRowLastColumn="0" w:lastRowFirstColumn="0" w:lastRowLastColumn="0"/>
            </w:pPr>
            <w:proofErr w:type="spellStart"/>
            <w:r w:rsidRPr="2A259567">
              <w:rPr>
                <w:rFonts w:ascii="Calibri" w:eastAsia="Calibri" w:hAnsi="Calibri" w:cs="Calibri"/>
                <w:sz w:val="20"/>
                <w:szCs w:val="20"/>
                <w:lang w:val="en-US"/>
              </w:rPr>
              <w:t>Goed</w:t>
            </w:r>
            <w:proofErr w:type="spellEnd"/>
          </w:p>
        </w:tc>
        <w:tc>
          <w:tcPr>
            <w:tcW w:w="2741" w:type="dxa"/>
            <w:tcMar>
              <w:left w:w="108" w:type="dxa"/>
              <w:right w:w="108" w:type="dxa"/>
            </w:tcMar>
          </w:tcPr>
          <w:p w14:paraId="589E6C3C" w14:textId="5E70A48C"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0"/>
                <w:szCs w:val="20"/>
                <w:lang w:val="en-US"/>
              </w:rPr>
              <w:t xml:space="preserve">Zeer </w:t>
            </w:r>
            <w:proofErr w:type="spellStart"/>
            <w:r w:rsidRPr="2A259567">
              <w:rPr>
                <w:rFonts w:ascii="Calibri" w:eastAsia="Calibri" w:hAnsi="Calibri" w:cs="Calibri"/>
                <w:sz w:val="20"/>
                <w:szCs w:val="20"/>
                <w:lang w:val="en-US"/>
              </w:rPr>
              <w:t>goed</w:t>
            </w:r>
            <w:proofErr w:type="spellEnd"/>
          </w:p>
        </w:tc>
        <w:tc>
          <w:tcPr>
            <w:tcW w:w="1701" w:type="dxa"/>
            <w:tcMar>
              <w:left w:w="108" w:type="dxa"/>
              <w:right w:w="108" w:type="dxa"/>
            </w:tcMar>
          </w:tcPr>
          <w:p w14:paraId="3F321D06" w14:textId="36670B0D" w:rsidR="2A259567" w:rsidRDefault="2A259567" w:rsidP="2A259567">
            <w:pPr>
              <w:cnfStyle w:val="000000000000" w:firstRow="0" w:lastRow="0" w:firstColumn="0" w:lastColumn="0" w:oddVBand="0" w:evenVBand="0" w:oddHBand="0" w:evenHBand="0" w:firstRowFirstColumn="0" w:firstRowLastColumn="0" w:lastRowFirstColumn="0" w:lastRowLastColumn="0"/>
            </w:pPr>
            <w:proofErr w:type="spellStart"/>
            <w:r w:rsidRPr="2A259567">
              <w:rPr>
                <w:rFonts w:ascii="Calibri" w:eastAsia="Calibri" w:hAnsi="Calibri" w:cs="Calibri"/>
                <w:sz w:val="20"/>
                <w:szCs w:val="20"/>
                <w:lang w:val="en-US"/>
              </w:rPr>
              <w:t>Uitstekend</w:t>
            </w:r>
            <w:proofErr w:type="spellEnd"/>
          </w:p>
        </w:tc>
        <w:tc>
          <w:tcPr>
            <w:tcW w:w="2190" w:type="dxa"/>
            <w:tcMar>
              <w:left w:w="108" w:type="dxa"/>
              <w:right w:w="108" w:type="dxa"/>
            </w:tcMar>
          </w:tcPr>
          <w:p w14:paraId="73F51FF8" w14:textId="0E410FBE" w:rsidR="2A259567" w:rsidRDefault="2A259567" w:rsidP="2A259567">
            <w:pPr>
              <w:cnfStyle w:val="000000000000" w:firstRow="0" w:lastRow="0" w:firstColumn="0" w:lastColumn="0" w:oddVBand="0" w:evenVBand="0" w:oddHBand="0" w:evenHBand="0" w:firstRowFirstColumn="0" w:firstRowLastColumn="0" w:lastRowFirstColumn="0" w:lastRowLastColumn="0"/>
            </w:pPr>
            <w:proofErr w:type="spellStart"/>
            <w:r w:rsidRPr="2A259567">
              <w:rPr>
                <w:rFonts w:ascii="Calibri" w:eastAsia="Calibri" w:hAnsi="Calibri" w:cs="Calibri"/>
                <w:sz w:val="20"/>
                <w:szCs w:val="20"/>
                <w:lang w:val="en-US"/>
              </w:rPr>
              <w:t>Uitstekend</w:t>
            </w:r>
            <w:proofErr w:type="spellEnd"/>
          </w:p>
        </w:tc>
      </w:tr>
      <w:tr w:rsidR="2A259567" w14:paraId="30C4395C"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4" w:type="dxa"/>
            <w:tcBorders>
              <w:top w:val="nil"/>
              <w:left w:val="nil"/>
              <w:bottom w:val="nil"/>
              <w:right w:val="single" w:sz="8" w:space="0" w:color="7F7F7F" w:themeColor="text1" w:themeTint="80"/>
            </w:tcBorders>
            <w:tcMar>
              <w:left w:w="108" w:type="dxa"/>
              <w:right w:w="108" w:type="dxa"/>
            </w:tcMar>
          </w:tcPr>
          <w:p w14:paraId="28A8CD24" w14:textId="65761451" w:rsidR="2A259567" w:rsidRDefault="2A259567" w:rsidP="2A259567">
            <w:r w:rsidRPr="2A259567">
              <w:rPr>
                <w:rFonts w:ascii="Calibri" w:eastAsia="Calibri" w:hAnsi="Calibri" w:cs="Calibri"/>
                <w:color w:val="000000" w:themeColor="text1"/>
                <w:sz w:val="20"/>
                <w:szCs w:val="20"/>
              </w:rPr>
              <w:t>Rapportage governance</w:t>
            </w:r>
          </w:p>
          <w:p w14:paraId="229244B0" w14:textId="36AF5470" w:rsidR="2A259567" w:rsidRDefault="2A259567" w:rsidP="2A259567">
            <w:r w:rsidRPr="2A259567">
              <w:rPr>
                <w:rFonts w:ascii="Calibri" w:eastAsia="Calibri" w:hAnsi="Calibri" w:cs="Calibri"/>
                <w:color w:val="000000" w:themeColor="text1"/>
                <w:sz w:val="20"/>
                <w:szCs w:val="20"/>
              </w:rPr>
              <w:t>&amp; beleid</w:t>
            </w:r>
          </w:p>
        </w:tc>
        <w:tc>
          <w:tcPr>
            <w:tcW w:w="1985" w:type="dxa"/>
            <w:tcMar>
              <w:left w:w="108" w:type="dxa"/>
              <w:right w:w="108" w:type="dxa"/>
            </w:tcMar>
          </w:tcPr>
          <w:p w14:paraId="467AA6F4" w14:textId="053B690E"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0"/>
                <w:szCs w:val="20"/>
              </w:rPr>
              <w:t>Publiceert jaarlijkse financiële verslaggeving en uitgebreide jaarrapportages voor hun fondsen en de onderneming</w:t>
            </w:r>
          </w:p>
        </w:tc>
        <w:tc>
          <w:tcPr>
            <w:tcW w:w="2741" w:type="dxa"/>
            <w:tcMar>
              <w:left w:w="108" w:type="dxa"/>
              <w:right w:w="108" w:type="dxa"/>
            </w:tcMar>
          </w:tcPr>
          <w:p w14:paraId="7DA514F9" w14:textId="61B17553"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0"/>
                <w:szCs w:val="20"/>
              </w:rPr>
              <w:t xml:space="preserve">Publiceert uitgebreide jaarverslagen, inclusief duurzaamheids- en </w:t>
            </w:r>
            <w:proofErr w:type="spellStart"/>
            <w:r w:rsidRPr="2A259567">
              <w:rPr>
                <w:rFonts w:ascii="Calibri" w:eastAsia="Calibri" w:hAnsi="Calibri" w:cs="Calibri"/>
                <w:color w:val="000000" w:themeColor="text1"/>
                <w:sz w:val="20"/>
                <w:szCs w:val="20"/>
              </w:rPr>
              <w:t>governance</w:t>
            </w:r>
            <w:proofErr w:type="spellEnd"/>
            <w:r w:rsidRPr="2A259567">
              <w:rPr>
                <w:rFonts w:ascii="Calibri" w:eastAsia="Calibri" w:hAnsi="Calibri" w:cs="Calibri"/>
                <w:color w:val="000000" w:themeColor="text1"/>
                <w:sz w:val="20"/>
                <w:szCs w:val="20"/>
              </w:rPr>
              <w:t>-rapportages</w:t>
            </w:r>
          </w:p>
        </w:tc>
        <w:tc>
          <w:tcPr>
            <w:tcW w:w="1701" w:type="dxa"/>
            <w:tcMar>
              <w:left w:w="108" w:type="dxa"/>
              <w:right w:w="108" w:type="dxa"/>
            </w:tcMar>
          </w:tcPr>
          <w:p w14:paraId="33CF46B5" w14:textId="69861DDD"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0"/>
                <w:szCs w:val="20"/>
              </w:rPr>
              <w:t xml:space="preserve">Publiceert jaarrapporten met financiële cijfers en toelichtingen bij </w:t>
            </w:r>
            <w:proofErr w:type="spellStart"/>
            <w:r w:rsidRPr="2A259567">
              <w:rPr>
                <w:rFonts w:ascii="Calibri" w:eastAsia="Calibri" w:hAnsi="Calibri" w:cs="Calibri"/>
                <w:color w:val="000000" w:themeColor="text1"/>
                <w:sz w:val="20"/>
                <w:szCs w:val="20"/>
              </w:rPr>
              <w:t>volmachtstemmen</w:t>
            </w:r>
            <w:proofErr w:type="spellEnd"/>
          </w:p>
        </w:tc>
        <w:tc>
          <w:tcPr>
            <w:tcW w:w="2190" w:type="dxa"/>
            <w:tcMar>
              <w:left w:w="108" w:type="dxa"/>
              <w:right w:w="108" w:type="dxa"/>
            </w:tcMar>
          </w:tcPr>
          <w:p w14:paraId="7D96909F" w14:textId="771D881D"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0"/>
                <w:szCs w:val="20"/>
              </w:rPr>
              <w:t>Publiceert uitgebreide jaarrapporten inclusief accountantsverklaringen en fondsprestaties</w:t>
            </w:r>
          </w:p>
        </w:tc>
      </w:tr>
    </w:tbl>
    <w:p w14:paraId="1B4F400B" w14:textId="6B519BC7" w:rsidR="32F1AED3" w:rsidRDefault="32F1AED3" w:rsidP="2A259567">
      <w:pPr>
        <w:spacing w:after="0"/>
      </w:pPr>
      <w:r w:rsidRPr="2A259567">
        <w:rPr>
          <w:rFonts w:ascii="Calibri" w:eastAsia="Calibri" w:hAnsi="Calibri" w:cs="Calibri"/>
        </w:rPr>
        <w:t xml:space="preserve"> </w:t>
      </w:r>
    </w:p>
    <w:p w14:paraId="415031F3" w14:textId="689398C1" w:rsidR="32F1AED3" w:rsidRDefault="32F1AED3" w:rsidP="2A259567">
      <w:pPr>
        <w:spacing w:after="0"/>
      </w:pPr>
      <w:r w:rsidRPr="2A259567">
        <w:rPr>
          <w:rFonts w:ascii="Calibri" w:eastAsia="Calibri" w:hAnsi="Calibri" w:cs="Calibri"/>
        </w:rPr>
        <w:t xml:space="preserve"> </w:t>
      </w:r>
    </w:p>
    <w:p w14:paraId="03F6B19E" w14:textId="7F0A1547" w:rsidR="32F1AED3" w:rsidRDefault="32F1AED3" w:rsidP="2A259567">
      <w:pPr>
        <w:spacing w:after="0"/>
      </w:pPr>
      <w:r w:rsidRPr="2A259567">
        <w:rPr>
          <w:rFonts w:ascii="Calibri" w:eastAsia="Calibri" w:hAnsi="Calibri" w:cs="Calibri"/>
        </w:rPr>
        <w:t xml:space="preserve"> </w:t>
      </w:r>
    </w:p>
    <w:p w14:paraId="7515FA09" w14:textId="09F89870" w:rsidR="32F1AED3" w:rsidRDefault="21D74ABE" w:rsidP="00E1671C">
      <w:pPr>
        <w:pStyle w:val="Heading3"/>
        <w:numPr>
          <w:ilvl w:val="0"/>
          <w:numId w:val="9"/>
        </w:numPr>
        <w:spacing w:before="0" w:after="0"/>
        <w:rPr>
          <w:rFonts w:ascii="Calibri" w:eastAsia="Calibri" w:hAnsi="Calibri" w:cs="Calibri"/>
          <w:color w:val="1F3763"/>
          <w:sz w:val="24"/>
          <w:szCs w:val="24"/>
        </w:rPr>
      </w:pPr>
      <w:bookmarkStart w:id="29" w:name="_Toc1776580100"/>
      <w:r w:rsidRPr="6D5ED2DD">
        <w:rPr>
          <w:rFonts w:ascii="Calibri" w:eastAsia="Calibri" w:hAnsi="Calibri" w:cs="Calibri"/>
          <w:color w:val="1F3763"/>
          <w:sz w:val="24"/>
          <w:szCs w:val="24"/>
        </w:rPr>
        <w:t>Bad press/reputatie</w:t>
      </w:r>
      <w:bookmarkEnd w:id="29"/>
    </w:p>
    <w:tbl>
      <w:tblPr>
        <w:tblStyle w:val="PlainTable3"/>
        <w:tblW w:w="0" w:type="auto"/>
        <w:tblLook w:val="04A0" w:firstRow="1" w:lastRow="0" w:firstColumn="1" w:lastColumn="0" w:noHBand="0" w:noVBand="1"/>
      </w:tblPr>
      <w:tblGrid>
        <w:gridCol w:w="1554"/>
        <w:gridCol w:w="4468"/>
        <w:gridCol w:w="3004"/>
      </w:tblGrid>
      <w:tr w:rsidR="2A259567" w14:paraId="131F839C" w14:textId="77777777" w:rsidTr="2A25956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555" w:type="dxa"/>
            <w:tcBorders>
              <w:top w:val="nil"/>
              <w:left w:val="nil"/>
              <w:bottom w:val="single" w:sz="8" w:space="0" w:color="7F7F7F" w:themeColor="text1" w:themeTint="80"/>
            </w:tcBorders>
            <w:tcMar>
              <w:left w:w="108" w:type="dxa"/>
              <w:right w:w="108" w:type="dxa"/>
            </w:tcMar>
          </w:tcPr>
          <w:p w14:paraId="24B7098A" w14:textId="0F28CE91" w:rsidR="2A259567" w:rsidRDefault="2A259567" w:rsidP="2A259567">
            <w:r w:rsidRPr="2A259567">
              <w:rPr>
                <w:rFonts w:ascii="Calibri" w:eastAsia="Calibri" w:hAnsi="Calibri" w:cs="Calibri"/>
              </w:rPr>
              <w:t>Bedrijf</w:t>
            </w:r>
          </w:p>
        </w:tc>
        <w:tc>
          <w:tcPr>
            <w:tcW w:w="4482" w:type="dxa"/>
            <w:tcBorders>
              <w:top w:val="nil"/>
              <w:left w:val="nil"/>
              <w:bottom w:val="single" w:sz="8" w:space="0" w:color="7F7F7F" w:themeColor="text1" w:themeTint="80"/>
              <w:right w:val="nil"/>
            </w:tcBorders>
            <w:tcMar>
              <w:left w:w="108" w:type="dxa"/>
              <w:right w:w="108" w:type="dxa"/>
            </w:tcMar>
          </w:tcPr>
          <w:p w14:paraId="2A500557" w14:textId="4C5D2235"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rPr>
              <w:t>Bekende issues/reputatiepunten</w:t>
            </w:r>
          </w:p>
        </w:tc>
        <w:tc>
          <w:tcPr>
            <w:tcW w:w="3019" w:type="dxa"/>
            <w:tcBorders>
              <w:top w:val="nil"/>
              <w:left w:val="nil"/>
              <w:bottom w:val="single" w:sz="8" w:space="0" w:color="7F7F7F" w:themeColor="text1" w:themeTint="80"/>
              <w:right w:val="nil"/>
            </w:tcBorders>
            <w:tcMar>
              <w:left w:w="108" w:type="dxa"/>
              <w:right w:w="108" w:type="dxa"/>
            </w:tcMar>
          </w:tcPr>
          <w:p w14:paraId="5DB13F48" w14:textId="06D39AE7"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rPr>
              <w:t>Effect op score</w:t>
            </w:r>
          </w:p>
        </w:tc>
      </w:tr>
      <w:tr w:rsidR="2A259567" w14:paraId="17AA701B"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tcBorders>
              <w:top w:val="single" w:sz="8" w:space="0" w:color="7F7F7F" w:themeColor="text1" w:themeTint="80"/>
              <w:left w:val="nil"/>
              <w:bottom w:val="nil"/>
              <w:right w:val="single" w:sz="8" w:space="0" w:color="7F7F7F" w:themeColor="text1" w:themeTint="80"/>
            </w:tcBorders>
            <w:tcMar>
              <w:left w:w="108" w:type="dxa"/>
              <w:right w:w="108" w:type="dxa"/>
            </w:tcMar>
          </w:tcPr>
          <w:p w14:paraId="668AFE08" w14:textId="202A9698" w:rsidR="2A259567" w:rsidRDefault="2A259567" w:rsidP="2A259567">
            <w:r w:rsidRPr="2A259567">
              <w:rPr>
                <w:rFonts w:ascii="Calibri" w:eastAsia="Calibri" w:hAnsi="Calibri" w:cs="Calibri"/>
                <w:color w:val="000000" w:themeColor="text1"/>
              </w:rPr>
              <w:t>Fidelity</w:t>
            </w:r>
          </w:p>
        </w:tc>
        <w:tc>
          <w:tcPr>
            <w:tcW w:w="4482" w:type="dxa"/>
            <w:tcMar>
              <w:left w:w="108" w:type="dxa"/>
              <w:right w:w="108" w:type="dxa"/>
            </w:tcMar>
          </w:tcPr>
          <w:p w14:paraId="3179E051" w14:textId="54754557"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Beperkte recente incidenten, kleine steekpenningenschandaal in 2025</w:t>
            </w:r>
          </w:p>
        </w:tc>
        <w:tc>
          <w:tcPr>
            <w:tcW w:w="3019" w:type="dxa"/>
            <w:tcMar>
              <w:left w:w="108" w:type="dxa"/>
              <w:right w:w="108" w:type="dxa"/>
            </w:tcMar>
          </w:tcPr>
          <w:p w14:paraId="155118D6" w14:textId="728D69C0"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rPr>
              <w:t>Matig, score 6</w:t>
            </w:r>
          </w:p>
        </w:tc>
      </w:tr>
      <w:tr w:rsidR="2A259567" w14:paraId="6FCBA8D7"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1555" w:type="dxa"/>
            <w:tcBorders>
              <w:top w:val="nil"/>
              <w:left w:val="nil"/>
              <w:bottom w:val="nil"/>
              <w:right w:val="single" w:sz="8" w:space="0" w:color="7F7F7F" w:themeColor="text1" w:themeTint="80"/>
            </w:tcBorders>
            <w:tcMar>
              <w:left w:w="108" w:type="dxa"/>
              <w:right w:w="108" w:type="dxa"/>
            </w:tcMar>
          </w:tcPr>
          <w:p w14:paraId="30BD2E24" w14:textId="23D1D67F" w:rsidR="2A259567" w:rsidRDefault="2A259567" w:rsidP="2A259567">
            <w:r w:rsidRPr="2A259567">
              <w:rPr>
                <w:rFonts w:ascii="Calibri" w:eastAsia="Calibri" w:hAnsi="Calibri" w:cs="Calibri"/>
              </w:rPr>
              <w:t>Allianz Group</w:t>
            </w:r>
          </w:p>
        </w:tc>
        <w:tc>
          <w:tcPr>
            <w:tcW w:w="4482" w:type="dxa"/>
            <w:tcMar>
              <w:left w:w="108" w:type="dxa"/>
              <w:right w:w="108" w:type="dxa"/>
            </w:tcMar>
          </w:tcPr>
          <w:p w14:paraId="6173BB38" w14:textId="36B97BE5"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Geen overmacht schandalen publiek bekend</w:t>
            </w:r>
          </w:p>
        </w:tc>
        <w:tc>
          <w:tcPr>
            <w:tcW w:w="3019" w:type="dxa"/>
            <w:tcMar>
              <w:left w:w="108" w:type="dxa"/>
              <w:right w:w="108" w:type="dxa"/>
            </w:tcMar>
          </w:tcPr>
          <w:p w14:paraId="5C9B9F98" w14:textId="45C6B9BA"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rPr>
              <w:t>Sterk, score 8</w:t>
            </w:r>
          </w:p>
        </w:tc>
      </w:tr>
      <w:tr w:rsidR="2A259567" w14:paraId="2D36D7AB"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tcBorders>
              <w:top w:val="nil"/>
              <w:left w:val="nil"/>
              <w:bottom w:val="nil"/>
              <w:right w:val="single" w:sz="8" w:space="0" w:color="7F7F7F" w:themeColor="text1" w:themeTint="80"/>
            </w:tcBorders>
            <w:tcMar>
              <w:left w:w="108" w:type="dxa"/>
              <w:right w:w="108" w:type="dxa"/>
            </w:tcMar>
          </w:tcPr>
          <w:p w14:paraId="38673BCA" w14:textId="5417E625" w:rsidR="2A259567" w:rsidRDefault="2A259567" w:rsidP="2A259567">
            <w:r w:rsidRPr="2A259567">
              <w:rPr>
                <w:rFonts w:ascii="Calibri" w:eastAsia="Calibri" w:hAnsi="Calibri" w:cs="Calibri"/>
                <w:color w:val="000000" w:themeColor="text1"/>
              </w:rPr>
              <w:t>Vanguard Group</w:t>
            </w:r>
          </w:p>
        </w:tc>
        <w:tc>
          <w:tcPr>
            <w:tcW w:w="4482" w:type="dxa"/>
            <w:tcMar>
              <w:left w:w="108" w:type="dxa"/>
              <w:right w:w="108" w:type="dxa"/>
            </w:tcMar>
          </w:tcPr>
          <w:p w14:paraId="6F5862BF" w14:textId="75C6DDA3"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Relatief schone reputatie, kritiek op passieve ESG-inzet</w:t>
            </w:r>
          </w:p>
        </w:tc>
        <w:tc>
          <w:tcPr>
            <w:tcW w:w="3019" w:type="dxa"/>
            <w:tcMar>
              <w:left w:w="108" w:type="dxa"/>
              <w:right w:w="108" w:type="dxa"/>
            </w:tcMar>
          </w:tcPr>
          <w:p w14:paraId="22BCD54D" w14:textId="5EE87E9B"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rPr>
              <w:t>Laag risico, score 7</w:t>
            </w:r>
          </w:p>
        </w:tc>
      </w:tr>
      <w:tr w:rsidR="2A259567" w14:paraId="2806CCD6"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1555" w:type="dxa"/>
            <w:tcBorders>
              <w:top w:val="nil"/>
              <w:left w:val="nil"/>
              <w:bottom w:val="nil"/>
              <w:right w:val="single" w:sz="8" w:space="0" w:color="7F7F7F" w:themeColor="text1" w:themeTint="80"/>
            </w:tcBorders>
            <w:tcMar>
              <w:left w:w="108" w:type="dxa"/>
              <w:right w:w="108" w:type="dxa"/>
            </w:tcMar>
          </w:tcPr>
          <w:p w14:paraId="09D5AA97" w14:textId="32784BF8" w:rsidR="2A259567" w:rsidRDefault="2A259567" w:rsidP="2A259567">
            <w:r w:rsidRPr="2A259567">
              <w:rPr>
                <w:rFonts w:ascii="Calibri" w:eastAsia="Calibri" w:hAnsi="Calibri" w:cs="Calibri"/>
              </w:rPr>
              <w:t>Blackrock</w:t>
            </w:r>
          </w:p>
        </w:tc>
        <w:tc>
          <w:tcPr>
            <w:tcW w:w="4482" w:type="dxa"/>
            <w:tcMar>
              <w:left w:w="108" w:type="dxa"/>
              <w:right w:w="108" w:type="dxa"/>
            </w:tcMar>
          </w:tcPr>
          <w:p w14:paraId="5BB6F2A7" w14:textId="130EF9BB"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Gerichte kritiek op activistische stempraktijken en ESG-uitrol</w:t>
            </w:r>
          </w:p>
        </w:tc>
        <w:tc>
          <w:tcPr>
            <w:tcW w:w="3019" w:type="dxa"/>
            <w:tcMar>
              <w:left w:w="108" w:type="dxa"/>
              <w:right w:w="108" w:type="dxa"/>
            </w:tcMar>
          </w:tcPr>
          <w:p w14:paraId="5A49354A" w14:textId="5F422923"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rPr>
              <w:t>Aanzienlijk effect, score 5</w:t>
            </w:r>
          </w:p>
        </w:tc>
      </w:tr>
    </w:tbl>
    <w:p w14:paraId="1CB2D160" w14:textId="5B8C10CB" w:rsidR="32F1AED3" w:rsidRDefault="32F1AED3" w:rsidP="2A259567">
      <w:pPr>
        <w:spacing w:after="0"/>
      </w:pPr>
      <w:r w:rsidRPr="2A259567">
        <w:rPr>
          <w:rFonts w:ascii="Calibri" w:eastAsia="Calibri" w:hAnsi="Calibri" w:cs="Calibri"/>
        </w:rPr>
        <w:t xml:space="preserve"> </w:t>
      </w:r>
    </w:p>
    <w:p w14:paraId="5375E0EF" w14:textId="43C5C783" w:rsidR="32F1AED3" w:rsidRDefault="32F1AED3" w:rsidP="2A259567">
      <w:pPr>
        <w:spacing w:after="0"/>
      </w:pPr>
      <w:r w:rsidRPr="2A259567">
        <w:rPr>
          <w:rFonts w:ascii="Calibri" w:eastAsia="Calibri" w:hAnsi="Calibri" w:cs="Calibri"/>
        </w:rPr>
        <w:t xml:space="preserve"> </w:t>
      </w:r>
    </w:p>
    <w:p w14:paraId="3ED257AC" w14:textId="14629457" w:rsidR="32F1AED3" w:rsidRDefault="21D74ABE" w:rsidP="00E1671C">
      <w:pPr>
        <w:pStyle w:val="Heading2"/>
        <w:numPr>
          <w:ilvl w:val="1"/>
          <w:numId w:val="10"/>
        </w:numPr>
        <w:spacing w:before="0" w:after="0"/>
        <w:ind w:left="1080"/>
        <w:rPr>
          <w:rFonts w:ascii="Calibri" w:eastAsia="Calibri" w:hAnsi="Calibri" w:cs="Calibri"/>
          <w:color w:val="2F5496"/>
          <w:sz w:val="26"/>
          <w:szCs w:val="26"/>
        </w:rPr>
      </w:pPr>
      <w:bookmarkStart w:id="30" w:name="_Toc1163573829"/>
      <w:r w:rsidRPr="6D5ED2DD">
        <w:rPr>
          <w:rFonts w:ascii="Calibri" w:eastAsia="Calibri" w:hAnsi="Calibri" w:cs="Calibri"/>
          <w:color w:val="2F5496"/>
          <w:sz w:val="26"/>
          <w:szCs w:val="26"/>
        </w:rPr>
        <w:t>Concluderend beoordelingsschema</w:t>
      </w:r>
      <w:bookmarkEnd w:id="30"/>
    </w:p>
    <w:tbl>
      <w:tblPr>
        <w:tblStyle w:val="PlainTable3"/>
        <w:tblW w:w="0" w:type="auto"/>
        <w:tblLook w:val="04A0" w:firstRow="1" w:lastRow="0" w:firstColumn="1" w:lastColumn="0" w:noHBand="0" w:noVBand="1"/>
      </w:tblPr>
      <w:tblGrid>
        <w:gridCol w:w="1547"/>
        <w:gridCol w:w="1926"/>
        <w:gridCol w:w="1707"/>
        <w:gridCol w:w="821"/>
        <w:gridCol w:w="1132"/>
        <w:gridCol w:w="1291"/>
      </w:tblGrid>
      <w:tr w:rsidR="2A259567" w14:paraId="17604427" w14:textId="77777777" w:rsidTr="2A25956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547" w:type="dxa"/>
            <w:tcBorders>
              <w:top w:val="nil"/>
              <w:left w:val="nil"/>
              <w:bottom w:val="single" w:sz="8" w:space="0" w:color="7F7F7F" w:themeColor="text1" w:themeTint="80"/>
            </w:tcBorders>
            <w:tcMar>
              <w:left w:w="108" w:type="dxa"/>
              <w:right w:w="108" w:type="dxa"/>
            </w:tcMar>
          </w:tcPr>
          <w:p w14:paraId="5D9EAE8A" w14:textId="746EFBC8" w:rsidR="2A259567" w:rsidRDefault="2A259567" w:rsidP="2A259567">
            <w:r w:rsidRPr="2A259567">
              <w:rPr>
                <w:rFonts w:ascii="Calibri" w:eastAsia="Calibri" w:hAnsi="Calibri" w:cs="Calibri"/>
              </w:rPr>
              <w:t>Bedrijf</w:t>
            </w:r>
          </w:p>
        </w:tc>
        <w:tc>
          <w:tcPr>
            <w:tcW w:w="1926" w:type="dxa"/>
            <w:tcBorders>
              <w:top w:val="nil"/>
              <w:left w:val="nil"/>
              <w:bottom w:val="single" w:sz="8" w:space="0" w:color="7F7F7F" w:themeColor="text1" w:themeTint="80"/>
              <w:right w:val="nil"/>
            </w:tcBorders>
            <w:tcMar>
              <w:left w:w="108" w:type="dxa"/>
              <w:right w:w="108" w:type="dxa"/>
            </w:tcMar>
          </w:tcPr>
          <w:p w14:paraId="67F239F6" w14:textId="0F6EAAC6"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rPr>
              <w:t>Duurzaamheid (1-10)</w:t>
            </w:r>
          </w:p>
        </w:tc>
        <w:tc>
          <w:tcPr>
            <w:tcW w:w="1707" w:type="dxa"/>
            <w:tcBorders>
              <w:top w:val="nil"/>
              <w:left w:val="nil"/>
              <w:bottom w:val="single" w:sz="8" w:space="0" w:color="7F7F7F" w:themeColor="text1" w:themeTint="80"/>
              <w:right w:val="nil"/>
            </w:tcBorders>
            <w:tcMar>
              <w:left w:w="108" w:type="dxa"/>
              <w:right w:w="108" w:type="dxa"/>
            </w:tcMar>
          </w:tcPr>
          <w:p w14:paraId="54A24F2B" w14:textId="253941B5"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rPr>
              <w:t>Governance (1-10)</w:t>
            </w:r>
          </w:p>
        </w:tc>
        <w:tc>
          <w:tcPr>
            <w:tcW w:w="814" w:type="dxa"/>
            <w:tcBorders>
              <w:top w:val="nil"/>
              <w:left w:val="nil"/>
              <w:bottom w:val="single" w:sz="8" w:space="0" w:color="7F7F7F" w:themeColor="text1" w:themeTint="80"/>
              <w:right w:val="nil"/>
            </w:tcBorders>
            <w:tcMar>
              <w:left w:w="108" w:type="dxa"/>
              <w:right w:w="108" w:type="dxa"/>
            </w:tcMar>
          </w:tcPr>
          <w:p w14:paraId="110CC0B7" w14:textId="4ADE48B4"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rPr>
              <w:t>Bad Press (1-10)</w:t>
            </w:r>
          </w:p>
        </w:tc>
        <w:tc>
          <w:tcPr>
            <w:tcW w:w="1000" w:type="dxa"/>
            <w:tcBorders>
              <w:top w:val="nil"/>
              <w:left w:val="nil"/>
              <w:bottom w:val="single" w:sz="8" w:space="0" w:color="7F7F7F" w:themeColor="text1" w:themeTint="80"/>
              <w:right w:val="nil"/>
            </w:tcBorders>
            <w:tcMar>
              <w:left w:w="108" w:type="dxa"/>
              <w:right w:w="108" w:type="dxa"/>
            </w:tcMar>
          </w:tcPr>
          <w:p w14:paraId="0005CB5C" w14:textId="76E3B331"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rPr>
              <w:t>Weging %</w:t>
            </w:r>
          </w:p>
        </w:tc>
        <w:tc>
          <w:tcPr>
            <w:tcW w:w="1280" w:type="dxa"/>
            <w:tcBorders>
              <w:top w:val="nil"/>
              <w:left w:val="nil"/>
              <w:bottom w:val="single" w:sz="8" w:space="0" w:color="7F7F7F" w:themeColor="text1" w:themeTint="80"/>
              <w:right w:val="nil"/>
            </w:tcBorders>
            <w:tcMar>
              <w:left w:w="108" w:type="dxa"/>
              <w:right w:w="108" w:type="dxa"/>
            </w:tcMar>
          </w:tcPr>
          <w:p w14:paraId="313773E2" w14:textId="4E02C95A"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rPr>
              <w:t xml:space="preserve">Gewogen score </w:t>
            </w:r>
          </w:p>
        </w:tc>
      </w:tr>
      <w:tr w:rsidR="2A259567" w14:paraId="08FB2718"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7" w:type="dxa"/>
            <w:tcBorders>
              <w:top w:val="single" w:sz="8" w:space="0" w:color="7F7F7F" w:themeColor="text1" w:themeTint="80"/>
              <w:left w:val="nil"/>
              <w:bottom w:val="nil"/>
              <w:right w:val="single" w:sz="8" w:space="0" w:color="7F7F7F" w:themeColor="text1" w:themeTint="80"/>
            </w:tcBorders>
            <w:tcMar>
              <w:left w:w="108" w:type="dxa"/>
              <w:right w:w="108" w:type="dxa"/>
            </w:tcMar>
          </w:tcPr>
          <w:p w14:paraId="404588AC" w14:textId="7EB5622A" w:rsidR="2A259567" w:rsidRDefault="2A259567" w:rsidP="2A259567">
            <w:r w:rsidRPr="2A259567">
              <w:rPr>
                <w:rFonts w:ascii="Calibri" w:eastAsia="Calibri" w:hAnsi="Calibri" w:cs="Calibri"/>
                <w:color w:val="000000" w:themeColor="text1"/>
              </w:rPr>
              <w:t>Fidelity</w:t>
            </w:r>
          </w:p>
        </w:tc>
        <w:tc>
          <w:tcPr>
            <w:tcW w:w="1926" w:type="dxa"/>
            <w:tcMar>
              <w:left w:w="108" w:type="dxa"/>
              <w:right w:w="108" w:type="dxa"/>
            </w:tcMar>
          </w:tcPr>
          <w:p w14:paraId="44857C4A" w14:textId="30E47170"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rPr>
              <w:t>8,0</w:t>
            </w:r>
          </w:p>
        </w:tc>
        <w:tc>
          <w:tcPr>
            <w:tcW w:w="1707" w:type="dxa"/>
            <w:tcMar>
              <w:left w:w="108" w:type="dxa"/>
              <w:right w:w="108" w:type="dxa"/>
            </w:tcMar>
          </w:tcPr>
          <w:p w14:paraId="73E2632D" w14:textId="4FCFC92C"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rPr>
              <w:t>7,0</w:t>
            </w:r>
          </w:p>
        </w:tc>
        <w:tc>
          <w:tcPr>
            <w:tcW w:w="814" w:type="dxa"/>
            <w:tcMar>
              <w:left w:w="108" w:type="dxa"/>
              <w:right w:w="108" w:type="dxa"/>
            </w:tcMar>
          </w:tcPr>
          <w:p w14:paraId="4D3A1817" w14:textId="48A7862F"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rPr>
              <w:t>6,0</w:t>
            </w:r>
          </w:p>
        </w:tc>
        <w:tc>
          <w:tcPr>
            <w:tcW w:w="1000" w:type="dxa"/>
            <w:tcMar>
              <w:left w:w="108" w:type="dxa"/>
              <w:right w:w="108" w:type="dxa"/>
            </w:tcMar>
          </w:tcPr>
          <w:p w14:paraId="5BA82AFF" w14:textId="3F72E996"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rPr>
              <w:t>40/40/20</w:t>
            </w:r>
          </w:p>
        </w:tc>
        <w:tc>
          <w:tcPr>
            <w:tcW w:w="1280" w:type="dxa"/>
            <w:tcMar>
              <w:left w:w="108" w:type="dxa"/>
              <w:right w:w="108" w:type="dxa"/>
            </w:tcMar>
          </w:tcPr>
          <w:p w14:paraId="7F9A3E0F" w14:textId="602E1BE5"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rPr>
              <w:t>7,2</w:t>
            </w:r>
          </w:p>
        </w:tc>
      </w:tr>
      <w:tr w:rsidR="2A259567" w14:paraId="55A14A94"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1547" w:type="dxa"/>
            <w:tcBorders>
              <w:top w:val="nil"/>
              <w:left w:val="nil"/>
              <w:bottom w:val="nil"/>
              <w:right w:val="single" w:sz="8" w:space="0" w:color="7F7F7F" w:themeColor="text1" w:themeTint="80"/>
            </w:tcBorders>
            <w:tcMar>
              <w:left w:w="108" w:type="dxa"/>
              <w:right w:w="108" w:type="dxa"/>
            </w:tcMar>
          </w:tcPr>
          <w:p w14:paraId="50E1AD35" w14:textId="05596105" w:rsidR="2A259567" w:rsidRDefault="2A259567" w:rsidP="2A259567">
            <w:r w:rsidRPr="2A259567">
              <w:rPr>
                <w:rFonts w:ascii="Calibri" w:eastAsia="Calibri" w:hAnsi="Calibri" w:cs="Calibri"/>
              </w:rPr>
              <w:t>Allianz Group</w:t>
            </w:r>
          </w:p>
        </w:tc>
        <w:tc>
          <w:tcPr>
            <w:tcW w:w="1926" w:type="dxa"/>
            <w:tcMar>
              <w:left w:w="108" w:type="dxa"/>
              <w:right w:w="108" w:type="dxa"/>
            </w:tcMar>
          </w:tcPr>
          <w:p w14:paraId="1177D608" w14:textId="0ADB77AC"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rPr>
              <w:t>8,5</w:t>
            </w:r>
          </w:p>
        </w:tc>
        <w:tc>
          <w:tcPr>
            <w:tcW w:w="1707" w:type="dxa"/>
            <w:tcMar>
              <w:left w:w="108" w:type="dxa"/>
              <w:right w:w="108" w:type="dxa"/>
            </w:tcMar>
          </w:tcPr>
          <w:p w14:paraId="14C3B8E2" w14:textId="5549479E"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rPr>
              <w:t>7,5</w:t>
            </w:r>
          </w:p>
        </w:tc>
        <w:tc>
          <w:tcPr>
            <w:tcW w:w="814" w:type="dxa"/>
            <w:tcMar>
              <w:left w:w="108" w:type="dxa"/>
              <w:right w:w="108" w:type="dxa"/>
            </w:tcMar>
          </w:tcPr>
          <w:p w14:paraId="421C6993" w14:textId="57C1677D"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rPr>
              <w:t>8,0</w:t>
            </w:r>
          </w:p>
        </w:tc>
        <w:tc>
          <w:tcPr>
            <w:tcW w:w="1000" w:type="dxa"/>
            <w:tcMar>
              <w:left w:w="108" w:type="dxa"/>
              <w:right w:w="108" w:type="dxa"/>
            </w:tcMar>
          </w:tcPr>
          <w:p w14:paraId="22231099" w14:textId="6CC69B74"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rPr>
              <w:t>40/40/20</w:t>
            </w:r>
          </w:p>
        </w:tc>
        <w:tc>
          <w:tcPr>
            <w:tcW w:w="1280" w:type="dxa"/>
            <w:tcMar>
              <w:left w:w="108" w:type="dxa"/>
              <w:right w:w="108" w:type="dxa"/>
            </w:tcMar>
          </w:tcPr>
          <w:p w14:paraId="7B8055F1" w14:textId="06CCC6F5"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rPr>
              <w:t>8</w:t>
            </w:r>
          </w:p>
        </w:tc>
      </w:tr>
      <w:tr w:rsidR="2A259567" w14:paraId="548A9413"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7" w:type="dxa"/>
            <w:tcBorders>
              <w:top w:val="nil"/>
              <w:left w:val="nil"/>
              <w:bottom w:val="nil"/>
              <w:right w:val="single" w:sz="8" w:space="0" w:color="7F7F7F" w:themeColor="text1" w:themeTint="80"/>
            </w:tcBorders>
            <w:tcMar>
              <w:left w:w="108" w:type="dxa"/>
              <w:right w:w="108" w:type="dxa"/>
            </w:tcMar>
          </w:tcPr>
          <w:p w14:paraId="77544218" w14:textId="4371C8C2" w:rsidR="2A259567" w:rsidRDefault="2A259567" w:rsidP="2A259567">
            <w:r w:rsidRPr="2A259567">
              <w:rPr>
                <w:rFonts w:ascii="Calibri" w:eastAsia="Calibri" w:hAnsi="Calibri" w:cs="Calibri"/>
                <w:color w:val="000000" w:themeColor="text1"/>
              </w:rPr>
              <w:t>Vanguard Group</w:t>
            </w:r>
          </w:p>
        </w:tc>
        <w:tc>
          <w:tcPr>
            <w:tcW w:w="1926" w:type="dxa"/>
            <w:tcMar>
              <w:left w:w="108" w:type="dxa"/>
              <w:right w:w="108" w:type="dxa"/>
            </w:tcMar>
          </w:tcPr>
          <w:p w14:paraId="3C0960A3" w14:textId="5F10F0D9"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rPr>
              <w:t>7,0</w:t>
            </w:r>
          </w:p>
        </w:tc>
        <w:tc>
          <w:tcPr>
            <w:tcW w:w="1707" w:type="dxa"/>
            <w:tcMar>
              <w:left w:w="108" w:type="dxa"/>
              <w:right w:w="108" w:type="dxa"/>
            </w:tcMar>
          </w:tcPr>
          <w:p w14:paraId="47CA5443" w14:textId="239D4416"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rPr>
              <w:t>8,5</w:t>
            </w:r>
          </w:p>
        </w:tc>
        <w:tc>
          <w:tcPr>
            <w:tcW w:w="814" w:type="dxa"/>
            <w:tcMar>
              <w:left w:w="108" w:type="dxa"/>
              <w:right w:w="108" w:type="dxa"/>
            </w:tcMar>
          </w:tcPr>
          <w:p w14:paraId="6F552160" w14:textId="19B58476"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rPr>
              <w:t>7,0</w:t>
            </w:r>
          </w:p>
        </w:tc>
        <w:tc>
          <w:tcPr>
            <w:tcW w:w="1000" w:type="dxa"/>
            <w:tcMar>
              <w:left w:w="108" w:type="dxa"/>
              <w:right w:w="108" w:type="dxa"/>
            </w:tcMar>
          </w:tcPr>
          <w:p w14:paraId="67948171" w14:textId="1B34D9C5"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rPr>
              <w:t>40/40/20</w:t>
            </w:r>
          </w:p>
        </w:tc>
        <w:tc>
          <w:tcPr>
            <w:tcW w:w="1280" w:type="dxa"/>
            <w:tcMar>
              <w:left w:w="108" w:type="dxa"/>
              <w:right w:w="108" w:type="dxa"/>
            </w:tcMar>
          </w:tcPr>
          <w:p w14:paraId="3B146060" w14:textId="62C23ECA"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rPr>
              <w:t>7,6</w:t>
            </w:r>
          </w:p>
        </w:tc>
      </w:tr>
      <w:tr w:rsidR="2A259567" w14:paraId="01267C01"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1547" w:type="dxa"/>
            <w:tcBorders>
              <w:top w:val="nil"/>
              <w:left w:val="nil"/>
              <w:bottom w:val="nil"/>
              <w:right w:val="single" w:sz="8" w:space="0" w:color="7F7F7F" w:themeColor="text1" w:themeTint="80"/>
            </w:tcBorders>
            <w:tcMar>
              <w:left w:w="108" w:type="dxa"/>
              <w:right w:w="108" w:type="dxa"/>
            </w:tcMar>
          </w:tcPr>
          <w:p w14:paraId="72EFAD35" w14:textId="59E8E520" w:rsidR="2A259567" w:rsidRDefault="2A259567" w:rsidP="2A259567">
            <w:r w:rsidRPr="2A259567">
              <w:rPr>
                <w:rFonts w:ascii="Calibri" w:eastAsia="Calibri" w:hAnsi="Calibri" w:cs="Calibri"/>
              </w:rPr>
              <w:t>Blackrock</w:t>
            </w:r>
          </w:p>
        </w:tc>
        <w:tc>
          <w:tcPr>
            <w:tcW w:w="1926" w:type="dxa"/>
            <w:tcMar>
              <w:left w:w="108" w:type="dxa"/>
              <w:right w:w="108" w:type="dxa"/>
            </w:tcMar>
          </w:tcPr>
          <w:p w14:paraId="03876996" w14:textId="3B8A379B"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rPr>
              <w:t>7,5</w:t>
            </w:r>
          </w:p>
        </w:tc>
        <w:tc>
          <w:tcPr>
            <w:tcW w:w="1707" w:type="dxa"/>
            <w:tcMar>
              <w:left w:w="108" w:type="dxa"/>
              <w:right w:w="108" w:type="dxa"/>
            </w:tcMar>
          </w:tcPr>
          <w:p w14:paraId="494557E3" w14:textId="3E9E1A89"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rPr>
              <w:t>9,0</w:t>
            </w:r>
          </w:p>
        </w:tc>
        <w:tc>
          <w:tcPr>
            <w:tcW w:w="814" w:type="dxa"/>
            <w:tcMar>
              <w:left w:w="108" w:type="dxa"/>
              <w:right w:w="108" w:type="dxa"/>
            </w:tcMar>
          </w:tcPr>
          <w:p w14:paraId="5F9A3B88" w14:textId="662DDEB9"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rPr>
              <w:t>5,0</w:t>
            </w:r>
          </w:p>
        </w:tc>
        <w:tc>
          <w:tcPr>
            <w:tcW w:w="1000" w:type="dxa"/>
            <w:tcMar>
              <w:left w:w="108" w:type="dxa"/>
              <w:right w:w="108" w:type="dxa"/>
            </w:tcMar>
          </w:tcPr>
          <w:p w14:paraId="5FEAD00D" w14:textId="1D5CD9A0"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rPr>
              <w:t>40/40/20</w:t>
            </w:r>
          </w:p>
        </w:tc>
        <w:tc>
          <w:tcPr>
            <w:tcW w:w="1280" w:type="dxa"/>
            <w:tcMar>
              <w:left w:w="108" w:type="dxa"/>
              <w:right w:w="108" w:type="dxa"/>
            </w:tcMar>
          </w:tcPr>
          <w:p w14:paraId="1DADFCBB" w14:textId="134480D2"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rPr>
              <w:t>7,6</w:t>
            </w:r>
          </w:p>
        </w:tc>
      </w:tr>
    </w:tbl>
    <w:p w14:paraId="50ECB2FD" w14:textId="705BA507" w:rsidR="32F1AED3" w:rsidRDefault="32F1AED3" w:rsidP="2A259567">
      <w:pPr>
        <w:spacing w:after="0"/>
      </w:pPr>
      <w:r w:rsidRPr="2A259567">
        <w:rPr>
          <w:rFonts w:ascii="Calibri" w:eastAsia="Calibri" w:hAnsi="Calibri" w:cs="Calibri"/>
        </w:rPr>
        <w:t xml:space="preserve"> </w:t>
      </w:r>
    </w:p>
    <w:p w14:paraId="63524556" w14:textId="4E396DCA" w:rsidR="32F1AED3" w:rsidRDefault="21D74ABE" w:rsidP="00E1671C">
      <w:pPr>
        <w:pStyle w:val="Heading2"/>
        <w:numPr>
          <w:ilvl w:val="1"/>
          <w:numId w:val="10"/>
        </w:numPr>
        <w:spacing w:before="0" w:after="0"/>
        <w:ind w:left="1080"/>
        <w:rPr>
          <w:rFonts w:ascii="Calibri" w:eastAsia="Calibri" w:hAnsi="Calibri" w:cs="Calibri"/>
          <w:color w:val="2F5496"/>
          <w:sz w:val="26"/>
          <w:szCs w:val="26"/>
        </w:rPr>
      </w:pPr>
      <w:bookmarkStart w:id="31" w:name="_Toc1962698007"/>
      <w:r w:rsidRPr="6D5ED2DD">
        <w:rPr>
          <w:rFonts w:ascii="Calibri" w:eastAsia="Calibri" w:hAnsi="Calibri" w:cs="Calibri"/>
          <w:color w:val="2F5496"/>
          <w:sz w:val="26"/>
          <w:szCs w:val="26"/>
        </w:rPr>
        <w:t>Samenvatting</w:t>
      </w:r>
      <w:bookmarkEnd w:id="31"/>
    </w:p>
    <w:p w14:paraId="6920CA81" w14:textId="45B31AF4" w:rsidR="32F1AED3" w:rsidRDefault="32F1AED3" w:rsidP="2A259567">
      <w:pPr>
        <w:spacing w:after="0"/>
      </w:pPr>
      <w:r w:rsidRPr="2A259567">
        <w:rPr>
          <w:rFonts w:ascii="Calibri" w:eastAsia="Calibri" w:hAnsi="Calibri" w:cs="Calibri"/>
        </w:rPr>
        <w:t>Concluderend uit het beoordelingsschema is te zien dat Allianz Group eindigt met de hoogste score van de 4 vermogensbeheerders. Met een eindscore van 8,0. Allianz scoort ook het hoogst op duurzaamheid en op reputatie wat natuurlijk belangrijk is voor ons duurzaam adviesbureau. Dit is dus een goede match. Op gedeelde 2</w:t>
      </w:r>
      <w:r w:rsidRPr="2A259567">
        <w:rPr>
          <w:rFonts w:ascii="Calibri" w:eastAsia="Calibri" w:hAnsi="Calibri" w:cs="Calibri"/>
          <w:vertAlign w:val="superscript"/>
        </w:rPr>
        <w:t>e</w:t>
      </w:r>
      <w:r w:rsidRPr="2A259567">
        <w:rPr>
          <w:rFonts w:ascii="Calibri" w:eastAsia="Calibri" w:hAnsi="Calibri" w:cs="Calibri"/>
        </w:rPr>
        <w:t xml:space="preserve"> en 3</w:t>
      </w:r>
      <w:r w:rsidRPr="2A259567">
        <w:rPr>
          <w:rFonts w:ascii="Calibri" w:eastAsia="Calibri" w:hAnsi="Calibri" w:cs="Calibri"/>
          <w:vertAlign w:val="superscript"/>
        </w:rPr>
        <w:t>e</w:t>
      </w:r>
      <w:r w:rsidRPr="2A259567">
        <w:rPr>
          <w:rFonts w:ascii="Calibri" w:eastAsia="Calibri" w:hAnsi="Calibri" w:cs="Calibri"/>
        </w:rPr>
        <w:t xml:space="preserve"> plek komen </w:t>
      </w:r>
      <w:proofErr w:type="spellStart"/>
      <w:r w:rsidRPr="2A259567">
        <w:rPr>
          <w:rFonts w:ascii="Calibri" w:eastAsia="Calibri" w:hAnsi="Calibri" w:cs="Calibri"/>
        </w:rPr>
        <w:t>Vanguard</w:t>
      </w:r>
      <w:proofErr w:type="spellEnd"/>
      <w:r w:rsidRPr="2A259567">
        <w:rPr>
          <w:rFonts w:ascii="Calibri" w:eastAsia="Calibri" w:hAnsi="Calibri" w:cs="Calibri"/>
        </w:rPr>
        <w:t xml:space="preserve"> en Blackrock te staan. Beide hoog gescoord op </w:t>
      </w:r>
      <w:proofErr w:type="spellStart"/>
      <w:r w:rsidRPr="2A259567">
        <w:rPr>
          <w:rFonts w:ascii="Calibri" w:eastAsia="Calibri" w:hAnsi="Calibri" w:cs="Calibri"/>
        </w:rPr>
        <w:t>governance</w:t>
      </w:r>
      <w:proofErr w:type="spellEnd"/>
      <w:r w:rsidRPr="2A259567">
        <w:rPr>
          <w:rFonts w:ascii="Calibri" w:eastAsia="Calibri" w:hAnsi="Calibri" w:cs="Calibri"/>
        </w:rPr>
        <w:t xml:space="preserve">. De reputatie van Blackrock is wankelend dus dat zou geen goede match zijn voor onze klanten. Onderop eindigt </w:t>
      </w:r>
      <w:proofErr w:type="spellStart"/>
      <w:r w:rsidRPr="2A259567">
        <w:rPr>
          <w:rFonts w:ascii="Calibri" w:eastAsia="Calibri" w:hAnsi="Calibri" w:cs="Calibri"/>
        </w:rPr>
        <w:t>Fidelity</w:t>
      </w:r>
      <w:proofErr w:type="spellEnd"/>
      <w:r w:rsidRPr="2A259567">
        <w:rPr>
          <w:rFonts w:ascii="Calibri" w:eastAsia="Calibri" w:hAnsi="Calibri" w:cs="Calibri"/>
        </w:rPr>
        <w:t xml:space="preserve"> die vaak in de middenmoot ligt maar op reputatie een magere 6 scoort. </w:t>
      </w:r>
    </w:p>
    <w:p w14:paraId="0127BB34" w14:textId="05AB5D20" w:rsidR="32F1AED3" w:rsidRDefault="32F1AED3" w:rsidP="2A259567">
      <w:pPr>
        <w:pStyle w:val="Heading2"/>
        <w:spacing w:before="40" w:after="0"/>
      </w:pPr>
      <w:r w:rsidRPr="2A259567">
        <w:rPr>
          <w:rFonts w:ascii="Calibri" w:eastAsia="Calibri" w:hAnsi="Calibri" w:cs="Calibri"/>
          <w:color w:val="2F5496"/>
          <w:sz w:val="26"/>
          <w:szCs w:val="26"/>
        </w:rPr>
        <w:t xml:space="preserve"> </w:t>
      </w:r>
    </w:p>
    <w:p w14:paraId="403B93ED" w14:textId="2A81FC55" w:rsidR="32F1AED3" w:rsidRDefault="21D74ABE" w:rsidP="00E1671C">
      <w:pPr>
        <w:pStyle w:val="Heading2"/>
        <w:numPr>
          <w:ilvl w:val="1"/>
          <w:numId w:val="10"/>
        </w:numPr>
        <w:spacing w:before="0" w:after="0"/>
        <w:ind w:left="1080"/>
        <w:rPr>
          <w:rFonts w:ascii="Calibri" w:eastAsia="Calibri" w:hAnsi="Calibri" w:cs="Calibri"/>
          <w:color w:val="2F5496"/>
          <w:sz w:val="26"/>
          <w:szCs w:val="26"/>
        </w:rPr>
      </w:pPr>
      <w:bookmarkStart w:id="32" w:name="_Toc1632483262"/>
      <w:r w:rsidRPr="6D5ED2DD">
        <w:rPr>
          <w:rFonts w:ascii="Calibri" w:eastAsia="Calibri" w:hAnsi="Calibri" w:cs="Calibri"/>
          <w:color w:val="2F5496"/>
          <w:sz w:val="26"/>
          <w:szCs w:val="26"/>
        </w:rPr>
        <w:t>Bronnenlijst (APA 7</w:t>
      </w:r>
      <w:r w:rsidRPr="6D5ED2DD">
        <w:rPr>
          <w:rFonts w:ascii="Calibri" w:eastAsia="Calibri" w:hAnsi="Calibri" w:cs="Calibri"/>
          <w:color w:val="2F5496"/>
          <w:sz w:val="26"/>
          <w:szCs w:val="26"/>
          <w:vertAlign w:val="superscript"/>
        </w:rPr>
        <w:t>e</w:t>
      </w:r>
      <w:r w:rsidRPr="6D5ED2DD">
        <w:rPr>
          <w:rFonts w:ascii="Calibri" w:eastAsia="Calibri" w:hAnsi="Calibri" w:cs="Calibri"/>
          <w:color w:val="2F5496"/>
          <w:sz w:val="26"/>
          <w:szCs w:val="26"/>
        </w:rPr>
        <w:t xml:space="preserve"> editie)</w:t>
      </w:r>
      <w:bookmarkEnd w:id="32"/>
    </w:p>
    <w:p w14:paraId="09FF6E2D" w14:textId="49BA62CD" w:rsidR="32F1AED3" w:rsidRDefault="32F1AED3" w:rsidP="2A259567">
      <w:pPr>
        <w:spacing w:after="0"/>
      </w:pPr>
      <w:r w:rsidRPr="2A259567">
        <w:rPr>
          <w:rFonts w:ascii="Calibri" w:eastAsia="Calibri" w:hAnsi="Calibri" w:cs="Calibri"/>
        </w:rPr>
        <w:t xml:space="preserve"> </w:t>
      </w:r>
    </w:p>
    <w:p w14:paraId="14547F7A" w14:textId="5ACA49A0" w:rsidR="32F1AED3" w:rsidRDefault="32F1AED3" w:rsidP="2A259567">
      <w:pPr>
        <w:spacing w:after="0"/>
      </w:pPr>
      <w:r w:rsidRPr="2A259567">
        <w:rPr>
          <w:rFonts w:ascii="Calibri" w:eastAsia="Calibri" w:hAnsi="Calibri" w:cs="Calibri"/>
        </w:rPr>
        <w:t>Blackrock Nederland. (</w:t>
      </w:r>
      <w:proofErr w:type="spellStart"/>
      <w:r w:rsidRPr="2A259567">
        <w:rPr>
          <w:rFonts w:ascii="Calibri" w:eastAsia="Calibri" w:hAnsi="Calibri" w:cs="Calibri"/>
        </w:rPr>
        <w:t>z.d.</w:t>
      </w:r>
      <w:proofErr w:type="spellEnd"/>
      <w:r w:rsidRPr="2A259567">
        <w:rPr>
          <w:rFonts w:ascii="Calibri" w:eastAsia="Calibri" w:hAnsi="Calibri" w:cs="Calibri"/>
        </w:rPr>
        <w:t xml:space="preserve">). </w:t>
      </w:r>
      <w:r w:rsidRPr="2A259567">
        <w:rPr>
          <w:rFonts w:ascii="Calibri" w:eastAsia="Calibri" w:hAnsi="Calibri" w:cs="Calibri"/>
          <w:i/>
          <w:iCs/>
        </w:rPr>
        <w:t>Uw belang staat altijd voorop</w:t>
      </w:r>
      <w:r w:rsidRPr="2A259567">
        <w:rPr>
          <w:rFonts w:ascii="Calibri" w:eastAsia="Calibri" w:hAnsi="Calibri" w:cs="Calibri"/>
        </w:rPr>
        <w:t xml:space="preserve">. </w:t>
      </w:r>
      <w:proofErr w:type="spellStart"/>
      <w:r w:rsidRPr="2A259567">
        <w:rPr>
          <w:rFonts w:ascii="Calibri" w:eastAsia="Calibri" w:hAnsi="Calibri" w:cs="Calibri"/>
        </w:rPr>
        <w:t>BlackRock</w:t>
      </w:r>
      <w:proofErr w:type="spellEnd"/>
      <w:r w:rsidRPr="2A259567">
        <w:rPr>
          <w:rFonts w:ascii="Calibri" w:eastAsia="Calibri" w:hAnsi="Calibri" w:cs="Calibri"/>
        </w:rPr>
        <w:t xml:space="preserve">. Geraadpleegd op 13 november 2025, van </w:t>
      </w:r>
      <w:hyperlink r:id="rId29">
        <w:r w:rsidRPr="2A259567">
          <w:rPr>
            <w:rStyle w:val="Hyperlink"/>
            <w:rFonts w:ascii="Calibri" w:eastAsia="Calibri" w:hAnsi="Calibri" w:cs="Calibri"/>
            <w:color w:val="0563C1"/>
          </w:rPr>
          <w:t>https://www.blackrock.com/nl/particuliere-beleggers/blackrock-in-nederland</w:t>
        </w:r>
      </w:hyperlink>
    </w:p>
    <w:p w14:paraId="6F465E57" w14:textId="64DF853E" w:rsidR="32F1AED3" w:rsidRDefault="32F1AED3" w:rsidP="2A259567">
      <w:pPr>
        <w:spacing w:after="0"/>
      </w:pPr>
      <w:r w:rsidRPr="2A259567">
        <w:rPr>
          <w:rFonts w:ascii="Calibri" w:eastAsia="Calibri" w:hAnsi="Calibri" w:cs="Calibri"/>
        </w:rPr>
        <w:t xml:space="preserve"> </w:t>
      </w:r>
    </w:p>
    <w:p w14:paraId="729508B8" w14:textId="18750ACC" w:rsidR="32F1AED3" w:rsidRDefault="32F1AED3" w:rsidP="2A259567">
      <w:pPr>
        <w:spacing w:after="0"/>
      </w:pPr>
      <w:r w:rsidRPr="2A259567">
        <w:rPr>
          <w:rFonts w:ascii="Calibri" w:eastAsia="Calibri" w:hAnsi="Calibri" w:cs="Calibri"/>
          <w:lang w:val="en-US"/>
        </w:rPr>
        <w:t xml:space="preserve">Fidelity Personal Investing. (2025). </w:t>
      </w:r>
      <w:r w:rsidRPr="2A259567">
        <w:rPr>
          <w:rFonts w:ascii="Calibri" w:eastAsia="Calibri" w:hAnsi="Calibri" w:cs="Calibri"/>
          <w:i/>
          <w:iCs/>
          <w:lang w:val="en-US"/>
        </w:rPr>
        <w:t>Target market</w:t>
      </w:r>
      <w:r w:rsidRPr="2A259567">
        <w:rPr>
          <w:rFonts w:ascii="Calibri" w:eastAsia="Calibri" w:hAnsi="Calibri" w:cs="Calibri"/>
          <w:lang w:val="en-US"/>
        </w:rPr>
        <w:t xml:space="preserve">. </w:t>
      </w:r>
      <w:r w:rsidRPr="2A259567">
        <w:rPr>
          <w:rFonts w:ascii="Calibri" w:eastAsia="Calibri" w:hAnsi="Calibri" w:cs="Calibri"/>
        </w:rPr>
        <w:t xml:space="preserve">Geraadpleegd op 13 november 2025, van </w:t>
      </w:r>
      <w:hyperlink r:id="rId30">
        <w:r w:rsidRPr="2A259567">
          <w:rPr>
            <w:rStyle w:val="Hyperlink"/>
            <w:rFonts w:ascii="Calibri" w:eastAsia="Calibri" w:hAnsi="Calibri" w:cs="Calibri"/>
            <w:color w:val="0563C1"/>
          </w:rPr>
          <w:t>https://www.fidelity.co.uk/media/PI%20UK/pdf/target-market-statement.pdf</w:t>
        </w:r>
      </w:hyperlink>
    </w:p>
    <w:p w14:paraId="59AFF655" w14:textId="1E23926D" w:rsidR="32F1AED3" w:rsidRDefault="32F1AED3" w:rsidP="2A259567">
      <w:pPr>
        <w:spacing w:after="0"/>
      </w:pPr>
      <w:r w:rsidRPr="2A259567">
        <w:rPr>
          <w:rFonts w:ascii="Calibri" w:eastAsia="Calibri" w:hAnsi="Calibri" w:cs="Calibri"/>
        </w:rPr>
        <w:t xml:space="preserve"> </w:t>
      </w:r>
    </w:p>
    <w:p w14:paraId="466C886F" w14:textId="489B66CA" w:rsidR="32F1AED3" w:rsidRDefault="32F1AED3" w:rsidP="2A259567">
      <w:pPr>
        <w:spacing w:after="0"/>
      </w:pPr>
      <w:r w:rsidRPr="2A259567">
        <w:rPr>
          <w:rFonts w:ascii="Calibri" w:eastAsia="Calibri" w:hAnsi="Calibri" w:cs="Calibri"/>
        </w:rPr>
        <w:t>McKinsey &amp; Company. (</w:t>
      </w:r>
      <w:proofErr w:type="spellStart"/>
      <w:r w:rsidRPr="2A259567">
        <w:rPr>
          <w:rFonts w:ascii="Calibri" w:eastAsia="Calibri" w:hAnsi="Calibri" w:cs="Calibri"/>
        </w:rPr>
        <w:t>z.d.</w:t>
      </w:r>
      <w:proofErr w:type="spellEnd"/>
      <w:r w:rsidRPr="2A259567">
        <w:rPr>
          <w:rFonts w:ascii="Calibri" w:eastAsia="Calibri" w:hAnsi="Calibri" w:cs="Calibri"/>
        </w:rPr>
        <w:t xml:space="preserve">). </w:t>
      </w:r>
      <w:r w:rsidRPr="2A259567">
        <w:rPr>
          <w:rFonts w:ascii="Calibri" w:eastAsia="Calibri" w:hAnsi="Calibri" w:cs="Calibri"/>
          <w:i/>
          <w:iCs/>
        </w:rPr>
        <w:t>Allianz drijft end-</w:t>
      </w:r>
      <w:proofErr w:type="spellStart"/>
      <w:r w:rsidRPr="2A259567">
        <w:rPr>
          <w:rFonts w:ascii="Calibri" w:eastAsia="Calibri" w:hAnsi="Calibri" w:cs="Calibri"/>
          <w:i/>
          <w:iCs/>
        </w:rPr>
        <w:t>to</w:t>
      </w:r>
      <w:proofErr w:type="spellEnd"/>
      <w:r w:rsidRPr="2A259567">
        <w:rPr>
          <w:rFonts w:ascii="Calibri" w:eastAsia="Calibri" w:hAnsi="Calibri" w:cs="Calibri"/>
          <w:i/>
          <w:iCs/>
        </w:rPr>
        <w:t>-end transformatie aan voor winstgevende groei en klanttevredenheid</w:t>
      </w:r>
      <w:r w:rsidRPr="2A259567">
        <w:rPr>
          <w:rFonts w:ascii="Calibri" w:eastAsia="Calibri" w:hAnsi="Calibri" w:cs="Calibri"/>
        </w:rPr>
        <w:t xml:space="preserve">. Mckinsey.com. Geraadpleegd op 13 november 2025, van </w:t>
      </w:r>
      <w:hyperlink r:id="rId31">
        <w:r w:rsidRPr="2A259567">
          <w:rPr>
            <w:rStyle w:val="Hyperlink"/>
            <w:rFonts w:ascii="Calibri" w:eastAsia="Calibri" w:hAnsi="Calibri" w:cs="Calibri"/>
            <w:color w:val="0563C1"/>
          </w:rPr>
          <w:t>https://www.mckinsey.com/industries/financial-services/how-we-help-clients/allianz-drives-end-to-end-transformation-for-profitable-growth-and-customer-delight</w:t>
        </w:r>
      </w:hyperlink>
    </w:p>
    <w:p w14:paraId="7F1CBDAD" w14:textId="6FF30EDC" w:rsidR="32F1AED3" w:rsidRDefault="32F1AED3" w:rsidP="2A259567">
      <w:pPr>
        <w:spacing w:after="0"/>
      </w:pPr>
      <w:r w:rsidRPr="2A259567">
        <w:rPr>
          <w:rFonts w:ascii="Calibri" w:eastAsia="Calibri" w:hAnsi="Calibri" w:cs="Calibri"/>
        </w:rPr>
        <w:t xml:space="preserve"> </w:t>
      </w:r>
    </w:p>
    <w:p w14:paraId="3669C268" w14:textId="6556441A" w:rsidR="32F1AED3" w:rsidRDefault="32F1AED3" w:rsidP="2A259567">
      <w:pPr>
        <w:spacing w:after="0"/>
      </w:pPr>
      <w:r w:rsidRPr="2A259567">
        <w:rPr>
          <w:rFonts w:ascii="Calibri" w:eastAsia="Calibri" w:hAnsi="Calibri" w:cs="Calibri"/>
          <w:lang w:val="en-US"/>
        </w:rPr>
        <w:t xml:space="preserve">Stacy, R. N. (2025). </w:t>
      </w:r>
      <w:r w:rsidRPr="2A259567">
        <w:rPr>
          <w:rFonts w:ascii="Calibri" w:eastAsia="Calibri" w:hAnsi="Calibri" w:cs="Calibri"/>
          <w:i/>
          <w:iCs/>
          <w:lang w:val="en-US"/>
        </w:rPr>
        <w:t>Fidelity Investments | Research Starters | EBSCO Research</w:t>
      </w:r>
      <w:r w:rsidRPr="2A259567">
        <w:rPr>
          <w:rFonts w:ascii="Calibri" w:eastAsia="Calibri" w:hAnsi="Calibri" w:cs="Calibri"/>
          <w:lang w:val="en-US"/>
        </w:rPr>
        <w:t xml:space="preserve">. </w:t>
      </w:r>
      <w:r w:rsidRPr="2A259567">
        <w:rPr>
          <w:rFonts w:ascii="Calibri" w:eastAsia="Calibri" w:hAnsi="Calibri" w:cs="Calibri"/>
        </w:rPr>
        <w:t xml:space="preserve">EBSCO. Geraadpleegd op 13 november 2025, van </w:t>
      </w:r>
      <w:hyperlink r:id="rId32">
        <w:r w:rsidRPr="2A259567">
          <w:rPr>
            <w:rStyle w:val="Hyperlink"/>
            <w:rFonts w:ascii="Calibri" w:eastAsia="Calibri" w:hAnsi="Calibri" w:cs="Calibri"/>
            <w:color w:val="0563C1"/>
          </w:rPr>
          <w:t>https://www.ebsco.com/research-starters/business-and-management/fidelity-investments</w:t>
        </w:r>
      </w:hyperlink>
    </w:p>
    <w:p w14:paraId="513E4939" w14:textId="2D427CFB" w:rsidR="32F1AED3" w:rsidRDefault="32F1AED3" w:rsidP="2A259567">
      <w:pPr>
        <w:spacing w:after="0"/>
      </w:pPr>
      <w:r w:rsidRPr="2A259567">
        <w:rPr>
          <w:rFonts w:ascii="Calibri" w:eastAsia="Calibri" w:hAnsi="Calibri" w:cs="Calibri"/>
        </w:rPr>
        <w:t xml:space="preserve"> </w:t>
      </w:r>
    </w:p>
    <w:p w14:paraId="292EF31C" w14:textId="4BDAABDF" w:rsidR="32F1AED3" w:rsidRPr="00F65EAB" w:rsidRDefault="32F1AED3" w:rsidP="2A259567">
      <w:pPr>
        <w:spacing w:after="0"/>
        <w:rPr>
          <w:lang w:val="en-US"/>
        </w:rPr>
      </w:pPr>
      <w:r w:rsidRPr="2A259567">
        <w:rPr>
          <w:rFonts w:ascii="Calibri" w:eastAsia="Calibri" w:hAnsi="Calibri" w:cs="Calibri"/>
          <w:lang w:val="en-US"/>
        </w:rPr>
        <w:t xml:space="preserve">Team, C. (2025, 12 </w:t>
      </w:r>
      <w:proofErr w:type="spellStart"/>
      <w:r w:rsidRPr="2A259567">
        <w:rPr>
          <w:rFonts w:ascii="Calibri" w:eastAsia="Calibri" w:hAnsi="Calibri" w:cs="Calibri"/>
          <w:lang w:val="en-US"/>
        </w:rPr>
        <w:t>juli</w:t>
      </w:r>
      <w:proofErr w:type="spellEnd"/>
      <w:r w:rsidRPr="2A259567">
        <w:rPr>
          <w:rFonts w:ascii="Calibri" w:eastAsia="Calibri" w:hAnsi="Calibri" w:cs="Calibri"/>
          <w:lang w:val="en-US"/>
        </w:rPr>
        <w:t xml:space="preserve">). </w:t>
      </w:r>
      <w:r w:rsidRPr="2A259567">
        <w:rPr>
          <w:rFonts w:ascii="Calibri" w:eastAsia="Calibri" w:hAnsi="Calibri" w:cs="Calibri"/>
          <w:i/>
          <w:iCs/>
          <w:lang w:val="en-US"/>
        </w:rPr>
        <w:t>What Are Vanguard’s Customer Demographics and Target Market?</w:t>
      </w:r>
      <w:r w:rsidRPr="2A259567">
        <w:rPr>
          <w:rFonts w:ascii="Calibri" w:eastAsia="Calibri" w:hAnsi="Calibri" w:cs="Calibri"/>
          <w:lang w:val="en-US"/>
        </w:rPr>
        <w:t xml:space="preserve"> CANVAS, SWOT, PESTEL &amp; BCG Matrix Editable Templates For Startups. </w:t>
      </w:r>
      <w:proofErr w:type="spellStart"/>
      <w:r w:rsidRPr="2A259567">
        <w:rPr>
          <w:rFonts w:ascii="Calibri" w:eastAsia="Calibri" w:hAnsi="Calibri" w:cs="Calibri"/>
          <w:lang w:val="en-US"/>
        </w:rPr>
        <w:t>Geraadpleegd</w:t>
      </w:r>
      <w:proofErr w:type="spellEnd"/>
      <w:r w:rsidRPr="2A259567">
        <w:rPr>
          <w:rFonts w:ascii="Calibri" w:eastAsia="Calibri" w:hAnsi="Calibri" w:cs="Calibri"/>
          <w:lang w:val="en-US"/>
        </w:rPr>
        <w:t xml:space="preserve"> op 13 </w:t>
      </w:r>
      <w:proofErr w:type="spellStart"/>
      <w:r w:rsidRPr="2A259567">
        <w:rPr>
          <w:rFonts w:ascii="Calibri" w:eastAsia="Calibri" w:hAnsi="Calibri" w:cs="Calibri"/>
          <w:lang w:val="en-US"/>
        </w:rPr>
        <w:t>november</w:t>
      </w:r>
      <w:proofErr w:type="spellEnd"/>
      <w:r w:rsidRPr="2A259567">
        <w:rPr>
          <w:rFonts w:ascii="Calibri" w:eastAsia="Calibri" w:hAnsi="Calibri" w:cs="Calibri"/>
          <w:lang w:val="en-US"/>
        </w:rPr>
        <w:t xml:space="preserve"> 2025, van </w:t>
      </w:r>
      <w:hyperlink r:id="rId33">
        <w:r w:rsidRPr="2A259567">
          <w:rPr>
            <w:rStyle w:val="Hyperlink"/>
            <w:rFonts w:ascii="Calibri" w:eastAsia="Calibri" w:hAnsi="Calibri" w:cs="Calibri"/>
            <w:color w:val="0563C1"/>
            <w:lang w:val="en-US"/>
          </w:rPr>
          <w:t>https://canvasbusinessmodel.com/blogs/target-market/vanguard-target-market</w:t>
        </w:r>
      </w:hyperlink>
    </w:p>
    <w:p w14:paraId="55162BB7" w14:textId="59B0241B" w:rsidR="32F1AED3" w:rsidRPr="00F65EAB" w:rsidRDefault="32F1AED3" w:rsidP="2A259567">
      <w:pPr>
        <w:spacing w:after="0"/>
        <w:rPr>
          <w:lang w:val="en-US"/>
        </w:rPr>
      </w:pPr>
      <w:r w:rsidRPr="2A259567">
        <w:rPr>
          <w:rFonts w:ascii="Calibri" w:eastAsia="Calibri" w:hAnsi="Calibri" w:cs="Calibri"/>
          <w:lang w:val="en-US"/>
        </w:rPr>
        <w:t xml:space="preserve"> </w:t>
      </w:r>
    </w:p>
    <w:p w14:paraId="1C03E317" w14:textId="66AE0C4B" w:rsidR="32F1AED3" w:rsidRDefault="32F1AED3" w:rsidP="2A259567">
      <w:pPr>
        <w:spacing w:after="0"/>
      </w:pPr>
      <w:r w:rsidRPr="2A259567">
        <w:rPr>
          <w:rFonts w:ascii="Calibri" w:eastAsia="Calibri" w:hAnsi="Calibri" w:cs="Calibri"/>
          <w:lang w:val="en-US"/>
        </w:rPr>
        <w:t xml:space="preserve">World Benchmarking Alliance. (2024, 10 </w:t>
      </w:r>
      <w:proofErr w:type="spellStart"/>
      <w:r w:rsidRPr="2A259567">
        <w:rPr>
          <w:rFonts w:ascii="Calibri" w:eastAsia="Calibri" w:hAnsi="Calibri" w:cs="Calibri"/>
          <w:lang w:val="en-US"/>
        </w:rPr>
        <w:t>oktober</w:t>
      </w:r>
      <w:proofErr w:type="spellEnd"/>
      <w:r w:rsidRPr="2A259567">
        <w:rPr>
          <w:rFonts w:ascii="Calibri" w:eastAsia="Calibri" w:hAnsi="Calibri" w:cs="Calibri"/>
          <w:lang w:val="en-US"/>
        </w:rPr>
        <w:t xml:space="preserve">). </w:t>
      </w:r>
      <w:r w:rsidRPr="2A259567">
        <w:rPr>
          <w:rFonts w:ascii="Calibri" w:eastAsia="Calibri" w:hAnsi="Calibri" w:cs="Calibri"/>
          <w:i/>
          <w:iCs/>
          <w:lang w:val="en-US"/>
        </w:rPr>
        <w:t>Financial System Benchmark | World Benchmarking Alliance</w:t>
      </w:r>
      <w:r w:rsidRPr="2A259567">
        <w:rPr>
          <w:rFonts w:ascii="Calibri" w:eastAsia="Calibri" w:hAnsi="Calibri" w:cs="Calibri"/>
          <w:lang w:val="en-US"/>
        </w:rPr>
        <w:t xml:space="preserve">. </w:t>
      </w:r>
      <w:r w:rsidRPr="2A259567">
        <w:rPr>
          <w:rFonts w:ascii="Calibri" w:eastAsia="Calibri" w:hAnsi="Calibri" w:cs="Calibri"/>
        </w:rPr>
        <w:t xml:space="preserve">Geraadpleegd op 13 november 2025, van </w:t>
      </w:r>
      <w:hyperlink r:id="rId34">
        <w:r w:rsidRPr="2A259567">
          <w:rPr>
            <w:rStyle w:val="Hyperlink"/>
            <w:rFonts w:ascii="Calibri" w:eastAsia="Calibri" w:hAnsi="Calibri" w:cs="Calibri"/>
            <w:color w:val="0563C1"/>
          </w:rPr>
          <w:t>https://www.worldbenchmarkingalliance.org/publication/financial-system/companies/allianz/</w:t>
        </w:r>
      </w:hyperlink>
    </w:p>
    <w:p w14:paraId="63A4BA6B" w14:textId="3FFAE3A7" w:rsidR="32F1AED3" w:rsidRDefault="32F1AED3" w:rsidP="2A259567">
      <w:pPr>
        <w:spacing w:after="0"/>
      </w:pPr>
      <w:r w:rsidRPr="2A259567">
        <w:rPr>
          <w:rFonts w:ascii="Calibri" w:eastAsia="Calibri" w:hAnsi="Calibri" w:cs="Calibri"/>
          <w:color w:val="0563C1"/>
        </w:rPr>
        <w:t xml:space="preserve"> </w:t>
      </w:r>
    </w:p>
    <w:p w14:paraId="1870D5ED" w14:textId="56E75356" w:rsidR="32F1AED3" w:rsidRDefault="32F1AED3" w:rsidP="2A259567">
      <w:pPr>
        <w:spacing w:after="0"/>
      </w:pPr>
      <w:r w:rsidRPr="2A259567">
        <w:rPr>
          <w:rFonts w:ascii="Calibri" w:eastAsia="Calibri" w:hAnsi="Calibri" w:cs="Calibri"/>
          <w:color w:val="0563C1"/>
        </w:rPr>
        <w:t xml:space="preserve"> </w:t>
      </w:r>
    </w:p>
    <w:p w14:paraId="6CBCDD0D" w14:textId="22B0A3EE" w:rsidR="32F1AED3" w:rsidRDefault="32F1AED3" w:rsidP="2A259567">
      <w:pPr>
        <w:spacing w:after="0"/>
      </w:pPr>
      <w:r w:rsidRPr="2A259567">
        <w:rPr>
          <w:rFonts w:ascii="Calibri" w:eastAsia="Calibri" w:hAnsi="Calibri" w:cs="Calibri"/>
          <w:color w:val="0563C1"/>
        </w:rPr>
        <w:t xml:space="preserve"> </w:t>
      </w:r>
    </w:p>
    <w:p w14:paraId="7715A4F5" w14:textId="05C14800" w:rsidR="32F1AED3" w:rsidRDefault="32F1AED3" w:rsidP="2A259567">
      <w:pPr>
        <w:spacing w:after="0"/>
      </w:pPr>
      <w:r w:rsidRPr="2A259567">
        <w:rPr>
          <w:rFonts w:ascii="Calibri" w:eastAsia="Calibri" w:hAnsi="Calibri" w:cs="Calibri"/>
          <w:color w:val="0563C1"/>
        </w:rPr>
        <w:t xml:space="preserve"> </w:t>
      </w:r>
    </w:p>
    <w:p w14:paraId="2A89263B" w14:textId="4F52E844" w:rsidR="32F1AED3" w:rsidRDefault="32F1AED3" w:rsidP="2A259567">
      <w:pPr>
        <w:spacing w:after="0"/>
      </w:pPr>
      <w:r w:rsidRPr="2A259567">
        <w:rPr>
          <w:rFonts w:ascii="Calibri" w:eastAsia="Calibri" w:hAnsi="Calibri" w:cs="Calibri"/>
          <w:color w:val="0563C1"/>
        </w:rPr>
        <w:t xml:space="preserve"> </w:t>
      </w:r>
    </w:p>
    <w:p w14:paraId="3CDAEDC6" w14:textId="2B70D76A" w:rsidR="32F1AED3" w:rsidRDefault="32F1AED3" w:rsidP="2A259567">
      <w:pPr>
        <w:spacing w:after="0"/>
      </w:pPr>
      <w:r w:rsidRPr="2A259567">
        <w:rPr>
          <w:rFonts w:ascii="Calibri" w:eastAsia="Calibri" w:hAnsi="Calibri" w:cs="Calibri"/>
          <w:color w:val="0563C1"/>
        </w:rPr>
        <w:t xml:space="preserve"> </w:t>
      </w:r>
    </w:p>
    <w:p w14:paraId="62CE80C0" w14:textId="6CDA13B8" w:rsidR="32F1AED3" w:rsidRDefault="32F1AED3" w:rsidP="2A259567">
      <w:pPr>
        <w:spacing w:after="0"/>
      </w:pPr>
      <w:r w:rsidRPr="2A259567">
        <w:rPr>
          <w:rFonts w:ascii="Calibri" w:eastAsia="Calibri" w:hAnsi="Calibri" w:cs="Calibri"/>
        </w:rPr>
        <w:t xml:space="preserve"> </w:t>
      </w:r>
    </w:p>
    <w:p w14:paraId="280CF60C" w14:textId="4AEC47E4" w:rsidR="2A259567" w:rsidRDefault="2A259567" w:rsidP="2A259567">
      <w:pPr>
        <w:spacing w:after="0"/>
        <w:rPr>
          <w:rFonts w:ascii="Calibri" w:eastAsia="Calibri" w:hAnsi="Calibri" w:cs="Calibri"/>
        </w:rPr>
      </w:pPr>
    </w:p>
    <w:p w14:paraId="461E3325" w14:textId="1E8FEFEC" w:rsidR="2A259567" w:rsidRDefault="2A259567" w:rsidP="2A259567">
      <w:pPr>
        <w:spacing w:after="0"/>
        <w:rPr>
          <w:rFonts w:ascii="Calibri" w:eastAsia="Calibri" w:hAnsi="Calibri" w:cs="Calibri"/>
        </w:rPr>
      </w:pPr>
    </w:p>
    <w:p w14:paraId="08C60936" w14:textId="17E0DC09" w:rsidR="32F1AED3" w:rsidRDefault="32F1AED3" w:rsidP="2A259567">
      <w:pPr>
        <w:spacing w:after="0"/>
      </w:pPr>
      <w:r w:rsidRPr="2A259567">
        <w:rPr>
          <w:rFonts w:ascii="Calibri" w:eastAsia="Calibri" w:hAnsi="Calibri" w:cs="Calibri"/>
        </w:rPr>
        <w:t xml:space="preserve"> </w:t>
      </w:r>
    </w:p>
    <w:p w14:paraId="174D7E71" w14:textId="0915F7FE" w:rsidR="32F1AED3" w:rsidRDefault="21D74ABE" w:rsidP="00E1671C">
      <w:pPr>
        <w:pStyle w:val="Heading1"/>
        <w:numPr>
          <w:ilvl w:val="0"/>
          <w:numId w:val="10"/>
        </w:numPr>
        <w:spacing w:before="0" w:after="0"/>
        <w:rPr>
          <w:rFonts w:ascii="Calibri" w:eastAsia="Calibri" w:hAnsi="Calibri" w:cs="Calibri"/>
          <w:color w:val="2F5496"/>
          <w:sz w:val="32"/>
          <w:szCs w:val="32"/>
        </w:rPr>
      </w:pPr>
      <w:bookmarkStart w:id="33" w:name="_Toc1415930651"/>
      <w:r w:rsidRPr="6D5ED2DD">
        <w:rPr>
          <w:rFonts w:ascii="Calibri" w:eastAsia="Calibri" w:hAnsi="Calibri" w:cs="Calibri"/>
          <w:color w:val="2F5496"/>
          <w:sz w:val="32"/>
          <w:szCs w:val="32"/>
        </w:rPr>
        <w:t>Selectie speciale beleggingsfondsen</w:t>
      </w:r>
      <w:bookmarkEnd w:id="33"/>
    </w:p>
    <w:p w14:paraId="40CC7BEB" w14:textId="206D56B0" w:rsidR="32F1AED3" w:rsidRDefault="32F1AED3" w:rsidP="2A259567">
      <w:pPr>
        <w:spacing w:after="0"/>
      </w:pPr>
      <w:r w:rsidRPr="2A259567">
        <w:rPr>
          <w:rFonts w:ascii="Calibri" w:eastAsia="Calibri" w:hAnsi="Calibri" w:cs="Calibri"/>
          <w:b/>
          <w:bCs/>
        </w:rPr>
        <w:t xml:space="preserve"> </w:t>
      </w:r>
    </w:p>
    <w:p w14:paraId="4963D99D" w14:textId="21C3B4C4" w:rsidR="32F1AED3" w:rsidRDefault="32F1AED3" w:rsidP="2A259567">
      <w:pPr>
        <w:spacing w:after="0"/>
      </w:pPr>
      <w:r w:rsidRPr="2A259567">
        <w:rPr>
          <w:rFonts w:ascii="Calibri" w:eastAsia="Calibri" w:hAnsi="Calibri" w:cs="Calibri"/>
        </w:rPr>
        <w:t xml:space="preserve">In dit deel van de opdracht zijn er van de vermogensbeheerders die heb best uit de analyses kwamen (Robeco, ASN Bank &amp; Allianz Group) 4 speciale beleggingsfondsen gekozen en geanalyseerd die wellicht interessant kunnen zijn om als huisfonds toe te voegen aan de beleggingsportefeuilles. </w:t>
      </w:r>
    </w:p>
    <w:p w14:paraId="32D6C189" w14:textId="653A3883" w:rsidR="32F1AED3" w:rsidRDefault="32F1AED3" w:rsidP="2A259567">
      <w:pPr>
        <w:spacing w:after="0"/>
      </w:pPr>
      <w:r w:rsidRPr="2A259567">
        <w:rPr>
          <w:rFonts w:ascii="Calibri" w:eastAsia="Calibri" w:hAnsi="Calibri" w:cs="Calibri"/>
        </w:rPr>
        <w:t xml:space="preserve"> </w:t>
      </w:r>
    </w:p>
    <w:p w14:paraId="3A42A14C" w14:textId="0EA517B0" w:rsidR="32F1AED3" w:rsidRDefault="21D74ABE" w:rsidP="6D5ED2DD">
      <w:pPr>
        <w:pStyle w:val="Heading3"/>
        <w:spacing w:before="40" w:after="0"/>
        <w:rPr>
          <w:rFonts w:ascii="Calibri" w:eastAsia="Calibri" w:hAnsi="Calibri" w:cs="Calibri"/>
          <w:color w:val="1F3763"/>
          <w:sz w:val="24"/>
          <w:szCs w:val="24"/>
        </w:rPr>
      </w:pPr>
      <w:bookmarkStart w:id="34" w:name="_Toc1902232025"/>
      <w:r w:rsidRPr="6D5ED2DD">
        <w:rPr>
          <w:rFonts w:ascii="Calibri" w:eastAsia="Calibri" w:hAnsi="Calibri" w:cs="Calibri"/>
          <w:color w:val="1F3763"/>
          <w:sz w:val="24"/>
          <w:szCs w:val="24"/>
        </w:rPr>
        <w:t>2.1 Robeco Green Bonds</w:t>
      </w:r>
      <w:bookmarkEnd w:id="34"/>
    </w:p>
    <w:p w14:paraId="6D637947" w14:textId="0758C3F4" w:rsidR="32F1AED3" w:rsidRDefault="32F1AED3" w:rsidP="2A259567">
      <w:pPr>
        <w:spacing w:after="0"/>
      </w:pPr>
      <w:r w:rsidRPr="2A259567">
        <w:rPr>
          <w:rFonts w:ascii="Calibri" w:eastAsia="Calibri" w:hAnsi="Calibri" w:cs="Calibri"/>
          <w:color w:val="000000" w:themeColor="text1"/>
        </w:rPr>
        <w:t xml:space="preserve">Het Robeco Green </w:t>
      </w:r>
      <w:proofErr w:type="spellStart"/>
      <w:r w:rsidRPr="2A259567">
        <w:rPr>
          <w:rFonts w:ascii="Calibri" w:eastAsia="Calibri" w:hAnsi="Calibri" w:cs="Calibri"/>
          <w:color w:val="000000" w:themeColor="text1"/>
        </w:rPr>
        <w:t>Bonds</w:t>
      </w:r>
      <w:proofErr w:type="spellEnd"/>
      <w:r w:rsidRPr="2A259567">
        <w:rPr>
          <w:rFonts w:ascii="Calibri" w:eastAsia="Calibri" w:hAnsi="Calibri" w:cs="Calibri"/>
          <w:color w:val="000000" w:themeColor="text1"/>
        </w:rPr>
        <w:t xml:space="preserve"> fonds is een gespecialiseerd obligatiefonds dat zich richt op investeringen in groene obligaties.</w:t>
      </w:r>
      <w:r w:rsidRPr="2A259567">
        <w:rPr>
          <w:rFonts w:ascii="Calibri" w:eastAsia="Calibri" w:hAnsi="Calibri" w:cs="Calibri"/>
        </w:rPr>
        <w:t xml:space="preserve"> </w:t>
      </w:r>
      <w:r w:rsidRPr="2A259567">
        <w:rPr>
          <w:rFonts w:ascii="Calibri" w:eastAsia="Calibri" w:hAnsi="Calibri" w:cs="Calibri"/>
          <w:color w:val="000000" w:themeColor="text1"/>
        </w:rPr>
        <w:t xml:space="preserve">Het fonds heeft als doel om een positieve bijdrage aan het milieu te leveren en op de lange termijn beter te presteren dan de </w:t>
      </w:r>
      <w:proofErr w:type="spellStart"/>
      <w:r w:rsidRPr="2A259567">
        <w:rPr>
          <w:rFonts w:ascii="Calibri" w:eastAsia="Calibri" w:hAnsi="Calibri" w:cs="Calibri"/>
          <w:color w:val="000000" w:themeColor="text1"/>
        </w:rPr>
        <w:t>Bloomberg</w:t>
      </w:r>
      <w:proofErr w:type="spellEnd"/>
      <w:r w:rsidRPr="2A259567">
        <w:rPr>
          <w:rFonts w:ascii="Calibri" w:eastAsia="Calibri" w:hAnsi="Calibri" w:cs="Calibri"/>
          <w:color w:val="000000" w:themeColor="text1"/>
        </w:rPr>
        <w:t xml:space="preserve"> MSCI Green Bond-index. Het investeert in groene obligaties van overheden en bedrijven en maakt daarbij gebruik van actieve keuzes in rente en kredietrisico.</w:t>
      </w:r>
    </w:p>
    <w:p w14:paraId="0070A3E7" w14:textId="56885415" w:rsidR="32F1AED3" w:rsidRDefault="32F1AED3" w:rsidP="2A259567">
      <w:pPr>
        <w:spacing w:after="0"/>
      </w:pPr>
      <w:r w:rsidRPr="2A259567">
        <w:rPr>
          <w:rFonts w:ascii="Calibri" w:eastAsia="Calibri" w:hAnsi="Calibri" w:cs="Calibri"/>
          <w:color w:val="000000" w:themeColor="text1"/>
        </w:rPr>
        <w:t xml:space="preserve"> </w:t>
      </w:r>
    </w:p>
    <w:p w14:paraId="4E84BCBD" w14:textId="6CAC0B15" w:rsidR="32F1AED3" w:rsidRDefault="32F1AED3" w:rsidP="2A259567">
      <w:pPr>
        <w:spacing w:after="0"/>
      </w:pPr>
      <w:r w:rsidRPr="2A259567">
        <w:rPr>
          <w:rFonts w:ascii="Calibri" w:eastAsia="Calibri" w:hAnsi="Calibri" w:cs="Calibri"/>
          <w:b/>
          <w:bCs/>
          <w:color w:val="000000" w:themeColor="text1"/>
        </w:rPr>
        <w:t xml:space="preserve">Kernmerken van Robeco Green </w:t>
      </w:r>
      <w:proofErr w:type="spellStart"/>
      <w:r w:rsidRPr="2A259567">
        <w:rPr>
          <w:rFonts w:ascii="Calibri" w:eastAsia="Calibri" w:hAnsi="Calibri" w:cs="Calibri"/>
          <w:b/>
          <w:bCs/>
          <w:color w:val="000000" w:themeColor="text1"/>
        </w:rPr>
        <w:t>Bonds</w:t>
      </w:r>
      <w:proofErr w:type="spellEnd"/>
      <w:r w:rsidRPr="2A259567">
        <w:rPr>
          <w:rFonts w:ascii="Calibri" w:eastAsia="Calibri" w:hAnsi="Calibri" w:cs="Calibri"/>
          <w:b/>
          <w:bCs/>
          <w:color w:val="000000" w:themeColor="text1"/>
        </w:rPr>
        <w:t>:</w:t>
      </w:r>
    </w:p>
    <w:p w14:paraId="0F3DB9BA" w14:textId="73493BF2" w:rsidR="32F1AED3" w:rsidRDefault="32F1AED3" w:rsidP="2A259567">
      <w:pPr>
        <w:pStyle w:val="ListParagraph"/>
        <w:numPr>
          <w:ilvl w:val="0"/>
          <w:numId w:val="8"/>
        </w:numPr>
        <w:spacing w:after="0"/>
        <w:rPr>
          <w:rFonts w:ascii="Calibri" w:eastAsia="Calibri" w:hAnsi="Calibri" w:cs="Calibri"/>
          <w:color w:val="000000" w:themeColor="text1"/>
        </w:rPr>
      </w:pPr>
      <w:r w:rsidRPr="2A259567">
        <w:rPr>
          <w:rFonts w:ascii="Calibri" w:eastAsia="Calibri" w:hAnsi="Calibri" w:cs="Calibri"/>
          <w:color w:val="000000" w:themeColor="text1"/>
        </w:rPr>
        <w:t>Het fonds belegt in welke obligaties de opbrengsten worden gebruikt voor de financiering van milieu- en klimaatprojecten, zoals duurzame energie, energie-efficiëntie, waterbeheer en schone transportoplossingen.</w:t>
      </w:r>
    </w:p>
    <w:p w14:paraId="5F28625A" w14:textId="1D8B9A91" w:rsidR="32F1AED3" w:rsidRDefault="32F1AED3" w:rsidP="2A259567">
      <w:pPr>
        <w:pStyle w:val="ListParagraph"/>
        <w:numPr>
          <w:ilvl w:val="0"/>
          <w:numId w:val="8"/>
        </w:numPr>
        <w:spacing w:after="0"/>
        <w:rPr>
          <w:rFonts w:ascii="Calibri" w:eastAsia="Calibri" w:hAnsi="Calibri" w:cs="Calibri"/>
          <w:color w:val="000000" w:themeColor="text1"/>
        </w:rPr>
      </w:pPr>
      <w:r w:rsidRPr="2A259567">
        <w:rPr>
          <w:rFonts w:ascii="Calibri" w:eastAsia="Calibri" w:hAnsi="Calibri" w:cs="Calibri"/>
          <w:color w:val="000000" w:themeColor="text1"/>
        </w:rPr>
        <w:t>Het fonds is vaak EUR-</w:t>
      </w:r>
      <w:proofErr w:type="spellStart"/>
      <w:r w:rsidRPr="2A259567">
        <w:rPr>
          <w:rFonts w:ascii="Calibri" w:eastAsia="Calibri" w:hAnsi="Calibri" w:cs="Calibri"/>
          <w:color w:val="000000" w:themeColor="text1"/>
        </w:rPr>
        <w:t>hedged</w:t>
      </w:r>
      <w:proofErr w:type="spellEnd"/>
      <w:r w:rsidRPr="2A259567">
        <w:rPr>
          <w:rFonts w:ascii="Calibri" w:eastAsia="Calibri" w:hAnsi="Calibri" w:cs="Calibri"/>
          <w:color w:val="000000" w:themeColor="text1"/>
        </w:rPr>
        <w:t>, waardoor het valutarisico beperkt kan worden voor Europese beleggers.</w:t>
      </w:r>
    </w:p>
    <w:p w14:paraId="76217BED" w14:textId="1FD88C61" w:rsidR="32F1AED3" w:rsidRDefault="32F1AED3" w:rsidP="2A259567">
      <w:pPr>
        <w:pStyle w:val="ListParagraph"/>
        <w:numPr>
          <w:ilvl w:val="0"/>
          <w:numId w:val="8"/>
        </w:numPr>
        <w:spacing w:after="0"/>
        <w:rPr>
          <w:rFonts w:ascii="Calibri" w:eastAsia="Calibri" w:hAnsi="Calibri" w:cs="Calibri"/>
          <w:color w:val="000000" w:themeColor="text1"/>
        </w:rPr>
      </w:pPr>
      <w:r w:rsidRPr="2A259567">
        <w:rPr>
          <w:rFonts w:ascii="Calibri" w:eastAsia="Calibri" w:hAnsi="Calibri" w:cs="Calibri"/>
          <w:color w:val="000000" w:themeColor="text1"/>
        </w:rPr>
        <w:t>Beleggingsrisico's worden actief beheerd met focus op kredietkwaliteit en spreiding over sectoren en regionale regio's.</w:t>
      </w:r>
    </w:p>
    <w:p w14:paraId="7193E755" w14:textId="62E5DA2B" w:rsidR="32F1AED3" w:rsidRDefault="32F1AED3" w:rsidP="2A259567">
      <w:pPr>
        <w:pStyle w:val="ListParagraph"/>
        <w:numPr>
          <w:ilvl w:val="0"/>
          <w:numId w:val="8"/>
        </w:numPr>
        <w:spacing w:after="0"/>
        <w:rPr>
          <w:rFonts w:ascii="Calibri" w:eastAsia="Calibri" w:hAnsi="Calibri" w:cs="Calibri"/>
          <w:color w:val="000000" w:themeColor="text1"/>
        </w:rPr>
      </w:pPr>
      <w:r w:rsidRPr="2A259567">
        <w:rPr>
          <w:rFonts w:ascii="Calibri" w:eastAsia="Calibri" w:hAnsi="Calibri" w:cs="Calibri"/>
          <w:color w:val="000000" w:themeColor="text1"/>
        </w:rPr>
        <w:t>De klant kan met een minimale inleg beginnen met beleggen bij dit fonds.</w:t>
      </w:r>
    </w:p>
    <w:p w14:paraId="386D4975" w14:textId="128DDF9A" w:rsidR="32F1AED3" w:rsidRDefault="32F1AED3" w:rsidP="2A259567">
      <w:pPr>
        <w:spacing w:after="0"/>
      </w:pPr>
      <w:r w:rsidRPr="2A259567">
        <w:rPr>
          <w:rFonts w:ascii="Calibri" w:eastAsia="Calibri" w:hAnsi="Calibri" w:cs="Calibri"/>
          <w:color w:val="000000" w:themeColor="text1"/>
        </w:rPr>
        <w:t xml:space="preserve"> </w:t>
      </w:r>
    </w:p>
    <w:p w14:paraId="24D09F0E" w14:textId="5F6F237B" w:rsidR="32F1AED3" w:rsidRDefault="32F1AED3" w:rsidP="2A259567">
      <w:pPr>
        <w:spacing w:after="0"/>
      </w:pPr>
      <w:r w:rsidRPr="2A259567">
        <w:rPr>
          <w:rFonts w:ascii="Calibri" w:eastAsia="Calibri" w:hAnsi="Calibri" w:cs="Calibri"/>
          <w:b/>
          <w:bCs/>
          <w:color w:val="000000" w:themeColor="text1"/>
        </w:rPr>
        <w:t>Niet-duurzaamheidscriteria</w:t>
      </w:r>
    </w:p>
    <w:p w14:paraId="49096473" w14:textId="612EABA2" w:rsidR="32F1AED3" w:rsidRDefault="32F1AED3" w:rsidP="2A259567">
      <w:pPr>
        <w:spacing w:after="0"/>
      </w:pPr>
      <w:r w:rsidRPr="2A259567">
        <w:rPr>
          <w:rFonts w:ascii="Calibri" w:eastAsia="Calibri" w:hAnsi="Calibri" w:cs="Calibri"/>
          <w:color w:val="000000" w:themeColor="text1"/>
        </w:rPr>
        <w:t xml:space="preserve">Bij het Robeco Green </w:t>
      </w:r>
      <w:proofErr w:type="spellStart"/>
      <w:r w:rsidRPr="2A259567">
        <w:rPr>
          <w:rFonts w:ascii="Calibri" w:eastAsia="Calibri" w:hAnsi="Calibri" w:cs="Calibri"/>
          <w:color w:val="000000" w:themeColor="text1"/>
        </w:rPr>
        <w:t>Bonds</w:t>
      </w:r>
      <w:proofErr w:type="spellEnd"/>
      <w:r w:rsidRPr="2A259567">
        <w:rPr>
          <w:rFonts w:ascii="Calibri" w:eastAsia="Calibri" w:hAnsi="Calibri" w:cs="Calibri"/>
          <w:color w:val="000000" w:themeColor="text1"/>
        </w:rPr>
        <w:t xml:space="preserve"> fonds wordt doorgaans duidelijk uitgelegd hoe de portefeuillebeheerders te werk gaan bij de selectie van obligaties. Robeco communiceert via fondsrapportages, </w:t>
      </w:r>
      <w:proofErr w:type="spellStart"/>
      <w:r w:rsidRPr="2A259567">
        <w:rPr>
          <w:rFonts w:ascii="Calibri" w:eastAsia="Calibri" w:hAnsi="Calibri" w:cs="Calibri"/>
          <w:color w:val="000000" w:themeColor="text1"/>
        </w:rPr>
        <w:t>factsheets</w:t>
      </w:r>
      <w:proofErr w:type="spellEnd"/>
      <w:r w:rsidRPr="2A259567">
        <w:rPr>
          <w:rFonts w:ascii="Calibri" w:eastAsia="Calibri" w:hAnsi="Calibri" w:cs="Calibri"/>
          <w:color w:val="000000" w:themeColor="text1"/>
        </w:rPr>
        <w:t xml:space="preserve"> en kwartaalupdates hoe het investeringsteam de selectiecriteria toepast: ze kijken naar milieudoelstellingen, het type projecten dat door de positie wordt bepaald en de mate van duurzaamheid van de uitgevende partij. Er worden strikte eisen gesteld aan groene certificering, transparantie rond impact en financiële kwaliteit, en Robeco geeft aan op basis waarvan een obligatie wordt gekozen of juist uitgesloten.</w:t>
      </w:r>
    </w:p>
    <w:p w14:paraId="4713F056" w14:textId="028FA84A" w:rsidR="32F1AED3" w:rsidRDefault="32F1AED3" w:rsidP="2A259567">
      <w:pPr>
        <w:spacing w:after="0"/>
      </w:pPr>
      <w:r w:rsidRPr="2A259567">
        <w:rPr>
          <w:rFonts w:ascii="Calibri" w:eastAsia="Calibri" w:hAnsi="Calibri" w:cs="Calibri"/>
          <w:color w:val="000000" w:themeColor="text1"/>
        </w:rPr>
        <w:t xml:space="preserve"> </w:t>
      </w:r>
    </w:p>
    <w:p w14:paraId="1EC37115" w14:textId="794083CC" w:rsidR="32F1AED3" w:rsidRDefault="32F1AED3" w:rsidP="2A259567">
      <w:pPr>
        <w:spacing w:after="0"/>
      </w:pPr>
      <w:r w:rsidRPr="2A259567">
        <w:rPr>
          <w:rFonts w:ascii="Calibri" w:eastAsia="Calibri" w:hAnsi="Calibri" w:cs="Calibri"/>
          <w:color w:val="000000" w:themeColor="text1"/>
        </w:rPr>
        <w:t>Daarnaast licht Robeco in fondsrapportages toe waarom bepaalde obligaties worden gekocht of verkocht, bijvoorbeeld door te wijzen op veranderende duurzaamheidsscores, kredietwaardigheid of projectimpact. Klanten krijgen dus een duidelijke toelichting op de keuzes voor aan- of verkoop in hun rapportages of via periodieke updates op de website</w:t>
      </w:r>
    </w:p>
    <w:p w14:paraId="74A66C2E" w14:textId="7E1D9783" w:rsidR="32F1AED3" w:rsidRDefault="32F1AED3" w:rsidP="2A259567">
      <w:pPr>
        <w:spacing w:after="0"/>
      </w:pPr>
      <w:r w:rsidRPr="2A259567">
        <w:rPr>
          <w:rFonts w:ascii="Calibri" w:eastAsia="Calibri" w:hAnsi="Calibri" w:cs="Calibri"/>
        </w:rPr>
        <w:t xml:space="preserve"> </w:t>
      </w:r>
    </w:p>
    <w:p w14:paraId="29DF6724" w14:textId="09416DBA" w:rsidR="32F1AED3" w:rsidRDefault="32F1AED3" w:rsidP="2A259567">
      <w:pPr>
        <w:spacing w:after="0"/>
      </w:pPr>
      <w:r w:rsidRPr="2A259567">
        <w:rPr>
          <w:rFonts w:ascii="Calibri" w:eastAsia="Calibri" w:hAnsi="Calibri" w:cs="Calibri"/>
          <w:color w:val="1F3763"/>
        </w:rPr>
        <w:t>2.2 ASN Energie &amp; Innovatiefonds</w:t>
      </w:r>
    </w:p>
    <w:p w14:paraId="1F4F14A0" w14:textId="095494C9" w:rsidR="32F1AED3" w:rsidRDefault="32F1AED3" w:rsidP="2A259567">
      <w:pPr>
        <w:spacing w:after="0"/>
      </w:pPr>
      <w:r w:rsidRPr="2A259567">
        <w:rPr>
          <w:rFonts w:ascii="Calibri" w:eastAsia="Calibri" w:hAnsi="Calibri" w:cs="Calibri"/>
        </w:rPr>
        <w:t>Het ASN Energie &amp; Innovatiefonds investeert in bewezen technologie die het energiesysteem van de toekomst mogelijk maakt, zoals duurzame energieopwekking, opslag, laadinfrastructuur, circulaire productie, duurzame mobiliteit en energiezuinige gebouwen. Dit doet het via onderhandse leningen en aandelenparticipaties in projecten en bedrijven die de energietransitie versnellen. Het fonds richt zich vooral op Nederlandse initiatieven.</w:t>
      </w:r>
    </w:p>
    <w:p w14:paraId="25C06453" w14:textId="32C30EBC" w:rsidR="32F1AED3" w:rsidRDefault="32F1AED3" w:rsidP="2A259567">
      <w:pPr>
        <w:spacing w:after="0"/>
      </w:pPr>
      <w:r w:rsidRPr="2A259567">
        <w:rPr>
          <w:rFonts w:ascii="Calibri" w:eastAsia="Calibri" w:hAnsi="Calibri" w:cs="Calibri"/>
        </w:rPr>
        <w:t xml:space="preserve"> </w:t>
      </w:r>
    </w:p>
    <w:p w14:paraId="33709686" w14:textId="3FF3AA92" w:rsidR="32F1AED3" w:rsidRDefault="32F1AED3" w:rsidP="2A259567">
      <w:pPr>
        <w:spacing w:after="0"/>
      </w:pPr>
      <w:r w:rsidRPr="2A259567">
        <w:rPr>
          <w:rFonts w:ascii="Calibri" w:eastAsia="Calibri" w:hAnsi="Calibri" w:cs="Calibri"/>
        </w:rPr>
        <w:t>Kenmerken van ASN Energie &amp; Innovatiefonds:</w:t>
      </w:r>
    </w:p>
    <w:p w14:paraId="5D99D904" w14:textId="4FCF9659" w:rsidR="32F1AED3" w:rsidRDefault="32F1AED3" w:rsidP="2A259567">
      <w:pPr>
        <w:pStyle w:val="ListParagraph"/>
        <w:numPr>
          <w:ilvl w:val="0"/>
          <w:numId w:val="7"/>
        </w:numPr>
        <w:spacing w:after="0"/>
        <w:rPr>
          <w:rFonts w:ascii="Calibri" w:eastAsia="Calibri" w:hAnsi="Calibri" w:cs="Calibri"/>
        </w:rPr>
      </w:pPr>
      <w:r w:rsidRPr="2A259567">
        <w:rPr>
          <w:rFonts w:ascii="Calibri" w:eastAsia="Calibri" w:hAnsi="Calibri" w:cs="Calibri"/>
        </w:rPr>
        <w:t xml:space="preserve">Dit fonds belegt uitsluitend in bedrijven en projecten met significante duurzame impact, bijvoorbeeld op het gebied van schone energie, circulaire economie en duurzame mobiliteit, met speciale aandacht voor </w:t>
      </w:r>
      <w:proofErr w:type="spellStart"/>
      <w:r w:rsidRPr="2A259567">
        <w:rPr>
          <w:rFonts w:ascii="Calibri" w:eastAsia="Calibri" w:hAnsi="Calibri" w:cs="Calibri"/>
        </w:rPr>
        <w:t>Sustainable</w:t>
      </w:r>
      <w:proofErr w:type="spellEnd"/>
      <w:r w:rsidRPr="2A259567">
        <w:rPr>
          <w:rFonts w:ascii="Calibri" w:eastAsia="Calibri" w:hAnsi="Calibri" w:cs="Calibri"/>
        </w:rPr>
        <w:t xml:space="preserve"> Development Goals zoals duurzame energie (SDG 7) en klimaatactie (SDG 13).</w:t>
      </w:r>
    </w:p>
    <w:p w14:paraId="190F34E3" w14:textId="47BC7C0E" w:rsidR="32F1AED3" w:rsidRDefault="32F1AED3" w:rsidP="2A259567">
      <w:pPr>
        <w:pStyle w:val="ListParagraph"/>
        <w:numPr>
          <w:ilvl w:val="0"/>
          <w:numId w:val="7"/>
        </w:numPr>
        <w:spacing w:after="0"/>
        <w:rPr>
          <w:rFonts w:ascii="Calibri" w:eastAsia="Calibri" w:hAnsi="Calibri" w:cs="Calibri"/>
        </w:rPr>
      </w:pPr>
      <w:r w:rsidRPr="2A259567">
        <w:rPr>
          <w:rFonts w:ascii="Calibri" w:eastAsia="Calibri" w:hAnsi="Calibri" w:cs="Calibri"/>
        </w:rPr>
        <w:t>Het fonds hanteert specifieke toegangseisen: de minimale investering ligt tussen €1.000.000 en €10.000.000. Dit betekent dat instappen doorgaans mogelijk is via vermogensbeheerders, investeerders of andere professionele partijen, waardoor het fonds zich richt op professionele en institutionele investeerders.</w:t>
      </w:r>
    </w:p>
    <w:p w14:paraId="7FBD1D94" w14:textId="3384F8BF" w:rsidR="32F1AED3" w:rsidRDefault="32F1AED3" w:rsidP="2A259567">
      <w:pPr>
        <w:pStyle w:val="ListParagraph"/>
        <w:numPr>
          <w:ilvl w:val="0"/>
          <w:numId w:val="7"/>
        </w:numPr>
        <w:spacing w:after="0"/>
        <w:rPr>
          <w:rFonts w:ascii="Calibri" w:eastAsia="Calibri" w:hAnsi="Calibri" w:cs="Calibri"/>
        </w:rPr>
      </w:pPr>
      <w:r w:rsidRPr="2A259567">
        <w:rPr>
          <w:rFonts w:ascii="Calibri" w:eastAsia="Calibri" w:hAnsi="Calibri" w:cs="Calibri"/>
        </w:rPr>
        <w:t>Tot slot kwalificeert het fonds als een artikel 9-fonds volgens de SFDR-regelgeving, wat aangeeft dat het een expliciet en meetbaar duurzaamheidsdoel is.</w:t>
      </w:r>
    </w:p>
    <w:p w14:paraId="0108EF7F" w14:textId="4D9664AD" w:rsidR="32F1AED3" w:rsidRDefault="32F1AED3" w:rsidP="2A259567">
      <w:pPr>
        <w:spacing w:after="0"/>
      </w:pPr>
      <w:r w:rsidRPr="2A259567">
        <w:rPr>
          <w:rFonts w:ascii="Calibri" w:eastAsia="Calibri" w:hAnsi="Calibri" w:cs="Calibri"/>
        </w:rPr>
        <w:t xml:space="preserve"> </w:t>
      </w:r>
    </w:p>
    <w:p w14:paraId="069274BA" w14:textId="7AA53823" w:rsidR="32F1AED3" w:rsidRDefault="32F1AED3" w:rsidP="2A259567">
      <w:pPr>
        <w:spacing w:after="0"/>
      </w:pPr>
      <w:r w:rsidRPr="2A259567">
        <w:rPr>
          <w:rFonts w:ascii="Calibri" w:eastAsia="Calibri" w:hAnsi="Calibri" w:cs="Calibri"/>
          <w:b/>
          <w:bCs/>
        </w:rPr>
        <w:t>Niet duurzaamheidscriteria</w:t>
      </w:r>
    </w:p>
    <w:p w14:paraId="3E65E578" w14:textId="7AF9C033" w:rsidR="32F1AED3" w:rsidRDefault="32F1AED3" w:rsidP="2A259567">
      <w:pPr>
        <w:spacing w:after="0"/>
      </w:pPr>
      <w:r w:rsidRPr="2A259567">
        <w:rPr>
          <w:rFonts w:ascii="Calibri" w:eastAsia="Calibri" w:hAnsi="Calibri" w:cs="Calibri"/>
        </w:rPr>
        <w:t xml:space="preserve">Het ASN Energie &amp; Innovatiefonds legt in </w:t>
      </w:r>
      <w:proofErr w:type="spellStart"/>
      <w:r w:rsidRPr="2A259567">
        <w:rPr>
          <w:rFonts w:ascii="Calibri" w:eastAsia="Calibri" w:hAnsi="Calibri" w:cs="Calibri"/>
        </w:rPr>
        <w:t>factsheets</w:t>
      </w:r>
      <w:proofErr w:type="spellEnd"/>
      <w:r w:rsidRPr="2A259567">
        <w:rPr>
          <w:rFonts w:ascii="Calibri" w:eastAsia="Calibri" w:hAnsi="Calibri" w:cs="Calibri"/>
        </w:rPr>
        <w:t xml:space="preserve"> en rapportages duidelijk uit welke duurzame en financiële criteria gebruikt worden voor de selectie van projecten. Het fonds investeert vooral in technologieën en bedrijven die bijdragen aan de energietransitie, zoals duurzame energie en circulaire productie. Criteria als locatie, ticketgrootte, en mate van innovatie spelen een grote rol bij de keuze. De selectie wordt gedaan door een gespecialiseerd team, vaak samen met externe adviseurs. In de rapportages wordt toegelicht welke sectoren en thema's in de portefeuille zitten en welke impact wordt nagestreefd. Klanten krijgen regelmatig uitleg over (grote) wijzigingen in de portefeuille. Echter wordt meestal niet per individuele aankoop of verkoop uitgelegd waarom deze keuze wordt gemaakt. De communicatie is vooral gericht op beleid en algemene wijzigingen, niet op elke ingewikkelde transactie.</w:t>
      </w:r>
    </w:p>
    <w:p w14:paraId="2673A833" w14:textId="1F016F64" w:rsidR="32F1AED3" w:rsidRDefault="32F1AED3" w:rsidP="2A259567">
      <w:pPr>
        <w:spacing w:after="0"/>
      </w:pPr>
      <w:r w:rsidRPr="2A259567">
        <w:rPr>
          <w:rFonts w:ascii="Calibri" w:eastAsia="Calibri" w:hAnsi="Calibri" w:cs="Calibri"/>
        </w:rPr>
        <w:t xml:space="preserve"> </w:t>
      </w:r>
    </w:p>
    <w:p w14:paraId="386FEE72" w14:textId="698E54EB" w:rsidR="32F1AED3" w:rsidRDefault="21D74ABE" w:rsidP="6D5ED2DD">
      <w:pPr>
        <w:pStyle w:val="Heading3"/>
        <w:spacing w:before="40" w:after="0"/>
        <w:rPr>
          <w:rFonts w:ascii="Calibri" w:eastAsia="Calibri" w:hAnsi="Calibri" w:cs="Calibri"/>
          <w:color w:val="1F3763"/>
          <w:sz w:val="24"/>
          <w:szCs w:val="24"/>
        </w:rPr>
      </w:pPr>
      <w:bookmarkStart w:id="35" w:name="_Toc496567140"/>
      <w:r w:rsidRPr="6D5ED2DD">
        <w:rPr>
          <w:rFonts w:ascii="Calibri" w:eastAsia="Calibri" w:hAnsi="Calibri" w:cs="Calibri"/>
          <w:color w:val="1F3763"/>
          <w:sz w:val="24"/>
          <w:szCs w:val="24"/>
        </w:rPr>
        <w:t>2.3 Allianz Green Bond</w:t>
      </w:r>
      <w:bookmarkEnd w:id="35"/>
    </w:p>
    <w:p w14:paraId="2B71C8DC" w14:textId="232B410F" w:rsidR="32F1AED3" w:rsidRDefault="32F1AED3" w:rsidP="2A259567">
      <w:pPr>
        <w:spacing w:after="0"/>
      </w:pPr>
      <w:r w:rsidRPr="2A259567">
        <w:rPr>
          <w:rFonts w:ascii="Calibri" w:eastAsia="Calibri" w:hAnsi="Calibri" w:cs="Calibri"/>
        </w:rPr>
        <w:t>Het Allianz Green Bond fonds is een beleggingsfonds dat geld investeert in speciale leningen, actieve groene obligaties. Deze leningen worden verspreid door bedrijven en organisaties die geld nodig hebben om projecten te financieren die goed zijn voor het milieu. Denk aan projecten voor schone energie, zoals windmolens en zonnepanelen, het besparen van energie, en het beschermen van de natuur. Door in dit fonds te beleggen, help je mee aan een schonere wereld, terwijl je ook de kans hebt om geld te verdienen. Het fonds verspreidde het geld over veel verschillende groene projecten wereldwijd om het risico te onderschatten.</w:t>
      </w:r>
    </w:p>
    <w:p w14:paraId="776A48E0" w14:textId="45B837C8" w:rsidR="32F1AED3" w:rsidRDefault="32F1AED3" w:rsidP="2A259567">
      <w:pPr>
        <w:spacing w:after="0"/>
      </w:pPr>
      <w:r w:rsidRPr="2A259567">
        <w:rPr>
          <w:rFonts w:ascii="Calibri" w:eastAsia="Calibri" w:hAnsi="Calibri" w:cs="Calibri"/>
        </w:rPr>
        <w:t xml:space="preserve"> </w:t>
      </w:r>
    </w:p>
    <w:p w14:paraId="7FD981DD" w14:textId="748F8262" w:rsidR="2A259567" w:rsidRDefault="2A259567" w:rsidP="2A259567">
      <w:pPr>
        <w:spacing w:after="0"/>
        <w:rPr>
          <w:rFonts w:ascii="Calibri" w:eastAsia="Calibri" w:hAnsi="Calibri" w:cs="Calibri"/>
          <w:b/>
          <w:bCs/>
        </w:rPr>
      </w:pPr>
    </w:p>
    <w:p w14:paraId="2C57FE20" w14:textId="30618276" w:rsidR="2A259567" w:rsidRDefault="2A259567" w:rsidP="2A259567">
      <w:pPr>
        <w:spacing w:after="0"/>
        <w:rPr>
          <w:rFonts w:ascii="Calibri" w:eastAsia="Calibri" w:hAnsi="Calibri" w:cs="Calibri"/>
          <w:b/>
          <w:bCs/>
        </w:rPr>
      </w:pPr>
    </w:p>
    <w:p w14:paraId="7487A75F" w14:textId="3FF3D334" w:rsidR="32F1AED3" w:rsidRDefault="32F1AED3" w:rsidP="2A259567">
      <w:pPr>
        <w:spacing w:after="0"/>
      </w:pPr>
      <w:r w:rsidRPr="2A259567">
        <w:rPr>
          <w:rFonts w:ascii="Calibri" w:eastAsia="Calibri" w:hAnsi="Calibri" w:cs="Calibri"/>
          <w:b/>
          <w:bCs/>
        </w:rPr>
        <w:t>Niet duurzaamheidscriteria</w:t>
      </w:r>
    </w:p>
    <w:p w14:paraId="76D6A3FC" w14:textId="1FC6A683" w:rsidR="32F1AED3" w:rsidRDefault="32F1AED3" w:rsidP="2A259567">
      <w:pPr>
        <w:spacing w:after="0"/>
      </w:pPr>
      <w:r w:rsidRPr="2A259567">
        <w:rPr>
          <w:rFonts w:ascii="Calibri" w:eastAsia="Calibri" w:hAnsi="Calibri" w:cs="Calibri"/>
        </w:rPr>
        <w:t>Bij het Allianz Green Bond fonds wordt duidelijk uitgelegd hoe het beheerteam moeilijkheden ondervindt: er wordt sterkte beoordeeld of een obligatie echt “groen” is, zowel qua milieu-impact als financiële kwaliteit. Klanten krijgen in fondsrapportages en documentatie inzicht in het selectieproces en de portefeuille. Ook wordt steeds toegelicht welke categorieën van grote investeringen gewijzigd zijn, en wat daarvoor de reden is. Individuele transacties worden vaak minder tot in detail uitgelegd, maar de algemene keuzes en het beleid zijn goed gewaardeerd en transparant.</w:t>
      </w:r>
    </w:p>
    <w:p w14:paraId="69715D13" w14:textId="4980699E" w:rsidR="32F1AED3" w:rsidRDefault="32F1AED3" w:rsidP="2A259567">
      <w:pPr>
        <w:spacing w:after="0"/>
      </w:pPr>
      <w:r w:rsidRPr="2A259567">
        <w:rPr>
          <w:rFonts w:ascii="Calibri" w:eastAsia="Calibri" w:hAnsi="Calibri" w:cs="Calibri"/>
        </w:rPr>
        <w:t xml:space="preserve"> </w:t>
      </w:r>
    </w:p>
    <w:p w14:paraId="15B34839" w14:textId="61E418C5" w:rsidR="32F1AED3" w:rsidRDefault="32F1AED3" w:rsidP="2A259567">
      <w:pPr>
        <w:spacing w:after="0"/>
      </w:pPr>
      <w:r w:rsidRPr="2A259567">
        <w:rPr>
          <w:rFonts w:ascii="Calibri" w:eastAsia="Calibri" w:hAnsi="Calibri" w:cs="Calibri"/>
        </w:rPr>
        <w:t>Kenmerken Allianz Green Bond:</w:t>
      </w:r>
    </w:p>
    <w:p w14:paraId="0D77E246" w14:textId="780D8CDF" w:rsidR="32F1AED3" w:rsidRDefault="32F1AED3" w:rsidP="2A259567">
      <w:pPr>
        <w:pStyle w:val="ListParagraph"/>
        <w:numPr>
          <w:ilvl w:val="0"/>
          <w:numId w:val="6"/>
        </w:numPr>
        <w:spacing w:after="0"/>
        <w:rPr>
          <w:rFonts w:ascii="Calibri" w:eastAsia="Calibri" w:hAnsi="Calibri" w:cs="Calibri"/>
        </w:rPr>
      </w:pPr>
      <w:r w:rsidRPr="2A259567">
        <w:rPr>
          <w:rFonts w:ascii="Calibri" w:eastAsia="Calibri" w:hAnsi="Calibri" w:cs="Calibri"/>
        </w:rPr>
        <w:t>Het fonds legt het grootste deel van het geld (minimaal 85%) vast in groene obligaties. Dit zijn leningen die worden gebruikt voor projecten die goed zijn voor het milieu, zoals windmolenparken, zonne-energie en schoon vervoer.</w:t>
      </w:r>
    </w:p>
    <w:p w14:paraId="5ABF77D7" w14:textId="69B7A49B" w:rsidR="32F1AED3" w:rsidRDefault="32F1AED3" w:rsidP="2A259567">
      <w:pPr>
        <w:pStyle w:val="ListParagraph"/>
        <w:numPr>
          <w:ilvl w:val="0"/>
          <w:numId w:val="6"/>
        </w:numPr>
        <w:spacing w:after="0"/>
        <w:rPr>
          <w:rFonts w:ascii="Calibri" w:eastAsia="Calibri" w:hAnsi="Calibri" w:cs="Calibri"/>
        </w:rPr>
      </w:pPr>
      <w:r w:rsidRPr="2A259567">
        <w:rPr>
          <w:rFonts w:ascii="Calibri" w:eastAsia="Calibri" w:hAnsi="Calibri" w:cs="Calibri"/>
        </w:rPr>
        <w:t>Het beschermt fonds investeerders tegen beleggingsschommelingen door valuta's af te dekken, waardoor het risico op waardeverlies door beleggingsbewegingen kleiner wordt.</w:t>
      </w:r>
    </w:p>
    <w:p w14:paraId="01EFF9EB" w14:textId="7E366A01" w:rsidR="32F1AED3" w:rsidRDefault="32F1AED3" w:rsidP="2A259567">
      <w:pPr>
        <w:pStyle w:val="ListParagraph"/>
        <w:numPr>
          <w:ilvl w:val="0"/>
          <w:numId w:val="6"/>
        </w:numPr>
        <w:spacing w:after="0"/>
        <w:rPr>
          <w:rFonts w:ascii="Calibri" w:eastAsia="Calibri" w:hAnsi="Calibri" w:cs="Calibri"/>
        </w:rPr>
      </w:pPr>
      <w:r w:rsidRPr="2A259567">
        <w:rPr>
          <w:rFonts w:ascii="Calibri" w:eastAsia="Calibri" w:hAnsi="Calibri" w:cs="Calibri"/>
        </w:rPr>
        <w:t xml:space="preserve">Het fonds heeft een hoge standaard voor milieuprestaties en wordt regelmatig beperkt op zijn duurzaamheid, bijvoorbeeld volgens de </w:t>
      </w:r>
      <w:proofErr w:type="spellStart"/>
      <w:r w:rsidRPr="2A259567">
        <w:rPr>
          <w:rFonts w:ascii="Calibri" w:eastAsia="Calibri" w:hAnsi="Calibri" w:cs="Calibri"/>
        </w:rPr>
        <w:t>Morningstar</w:t>
      </w:r>
      <w:proofErr w:type="spellEnd"/>
      <w:r w:rsidRPr="2A259567">
        <w:rPr>
          <w:rFonts w:ascii="Calibri" w:eastAsia="Calibri" w:hAnsi="Calibri" w:cs="Calibri"/>
        </w:rPr>
        <w:t xml:space="preserve"> </w:t>
      </w:r>
      <w:proofErr w:type="spellStart"/>
      <w:r w:rsidRPr="2A259567">
        <w:rPr>
          <w:rFonts w:ascii="Calibri" w:eastAsia="Calibri" w:hAnsi="Calibri" w:cs="Calibri"/>
        </w:rPr>
        <w:t>Sustainability</w:t>
      </w:r>
      <w:proofErr w:type="spellEnd"/>
      <w:r w:rsidRPr="2A259567">
        <w:rPr>
          <w:rFonts w:ascii="Calibri" w:eastAsia="Calibri" w:hAnsi="Calibri" w:cs="Calibri"/>
        </w:rPr>
        <w:t xml:space="preserve"> Rating.</w:t>
      </w:r>
    </w:p>
    <w:p w14:paraId="06798A42" w14:textId="17CD89DA" w:rsidR="32F1AED3" w:rsidRDefault="32F1AED3" w:rsidP="2A259567">
      <w:pPr>
        <w:spacing w:after="0"/>
      </w:pPr>
      <w:r w:rsidRPr="2A259567">
        <w:rPr>
          <w:rFonts w:ascii="Calibri" w:eastAsia="Calibri" w:hAnsi="Calibri" w:cs="Calibri"/>
          <w:b/>
          <w:bCs/>
        </w:rPr>
        <w:t xml:space="preserve"> </w:t>
      </w:r>
    </w:p>
    <w:p w14:paraId="5F448AD6" w14:textId="5A467544" w:rsidR="32F1AED3" w:rsidRDefault="32F1AED3" w:rsidP="2A259567">
      <w:pPr>
        <w:spacing w:after="0"/>
      </w:pPr>
      <w:r w:rsidRPr="2A259567">
        <w:rPr>
          <w:rFonts w:ascii="Calibri" w:eastAsia="Calibri" w:hAnsi="Calibri" w:cs="Calibri"/>
          <w:b/>
          <w:bCs/>
        </w:rPr>
        <w:t>Niet duurzaamheidscriteria</w:t>
      </w:r>
    </w:p>
    <w:p w14:paraId="6771E313" w14:textId="7E5CD0D3" w:rsidR="32F1AED3" w:rsidRDefault="32F1AED3" w:rsidP="2A259567">
      <w:pPr>
        <w:spacing w:after="0"/>
      </w:pPr>
      <w:r w:rsidRPr="2A259567">
        <w:rPr>
          <w:rFonts w:ascii="Calibri" w:eastAsia="Calibri" w:hAnsi="Calibri" w:cs="Calibri"/>
        </w:rPr>
        <w:t>Bij het Allianz Green Bond fonds wordt duidelijk uitgelegd hoe het beheerteam moeilijkheden ondervindt: er wordt sterkte beoordeeld of een obligatie echt “groen” is, zowel qua milieu-impact als financiële kwaliteit. Klanten krijgen in fondsrapportages en documentatie inzicht in het selectieproces en de portefeuille. Ook wordt steeds toegelicht welke categorieën van grote investeringen gewijzigd zijn, en wat daarvoor de reden is. Individuele transacties worden vaak minder tot in detail uitgelegd, maar de algemene keuzes en het beleid zijn goed gewaardeerd en transparant.</w:t>
      </w:r>
    </w:p>
    <w:p w14:paraId="469D1C8E" w14:textId="1CF17550" w:rsidR="32F1AED3" w:rsidRDefault="32F1AED3" w:rsidP="2A259567">
      <w:pPr>
        <w:spacing w:after="0"/>
      </w:pPr>
      <w:r w:rsidRPr="2A259567">
        <w:rPr>
          <w:rFonts w:ascii="Calibri" w:eastAsia="Calibri" w:hAnsi="Calibri" w:cs="Calibri"/>
        </w:rPr>
        <w:t xml:space="preserve"> </w:t>
      </w:r>
    </w:p>
    <w:p w14:paraId="15FC74A1" w14:textId="22D37EF8" w:rsidR="32F1AED3" w:rsidRDefault="21D74ABE" w:rsidP="6D5ED2DD">
      <w:pPr>
        <w:pStyle w:val="Heading3"/>
        <w:spacing w:before="40" w:after="0"/>
        <w:rPr>
          <w:rFonts w:ascii="Calibri" w:eastAsia="Calibri" w:hAnsi="Calibri" w:cs="Calibri"/>
          <w:color w:val="1F3763"/>
          <w:sz w:val="24"/>
          <w:szCs w:val="24"/>
        </w:rPr>
      </w:pPr>
      <w:bookmarkStart w:id="36" w:name="_Toc1378591304"/>
      <w:r w:rsidRPr="6D5ED2DD">
        <w:rPr>
          <w:rFonts w:ascii="Calibri" w:eastAsia="Calibri" w:hAnsi="Calibri" w:cs="Calibri"/>
          <w:color w:val="1F3763"/>
          <w:sz w:val="24"/>
          <w:szCs w:val="24"/>
        </w:rPr>
        <w:t>2.4 Allianz Climate Transition</w:t>
      </w:r>
      <w:bookmarkEnd w:id="36"/>
    </w:p>
    <w:p w14:paraId="0CF2BF7A" w14:textId="064A0AB5" w:rsidR="32F1AED3" w:rsidRDefault="32F1AED3" w:rsidP="2A259567">
      <w:pPr>
        <w:spacing w:after="0"/>
      </w:pPr>
      <w:r w:rsidRPr="2A259567">
        <w:rPr>
          <w:rFonts w:ascii="Calibri" w:eastAsia="Calibri" w:hAnsi="Calibri" w:cs="Calibri"/>
        </w:rPr>
        <w:t xml:space="preserve"> </w:t>
      </w:r>
    </w:p>
    <w:p w14:paraId="00591190" w14:textId="34333D6D" w:rsidR="32F1AED3" w:rsidRDefault="32F1AED3" w:rsidP="2A259567">
      <w:pPr>
        <w:spacing w:after="0"/>
      </w:pPr>
      <w:r w:rsidRPr="2A259567">
        <w:rPr>
          <w:rFonts w:ascii="Calibri" w:eastAsia="Calibri" w:hAnsi="Calibri" w:cs="Calibri"/>
        </w:rPr>
        <w:t xml:space="preserve">Het Allianz </w:t>
      </w:r>
      <w:proofErr w:type="spellStart"/>
      <w:r w:rsidRPr="2A259567">
        <w:rPr>
          <w:rFonts w:ascii="Calibri" w:eastAsia="Calibri" w:hAnsi="Calibri" w:cs="Calibri"/>
        </w:rPr>
        <w:t>Climate</w:t>
      </w:r>
      <w:proofErr w:type="spellEnd"/>
      <w:r w:rsidRPr="2A259567">
        <w:rPr>
          <w:rFonts w:ascii="Calibri" w:eastAsia="Calibri" w:hAnsi="Calibri" w:cs="Calibri"/>
        </w:rPr>
        <w:t xml:space="preserve"> </w:t>
      </w:r>
      <w:proofErr w:type="spellStart"/>
      <w:r w:rsidRPr="2A259567">
        <w:rPr>
          <w:rFonts w:ascii="Calibri" w:eastAsia="Calibri" w:hAnsi="Calibri" w:cs="Calibri"/>
        </w:rPr>
        <w:t>Transition</w:t>
      </w:r>
      <w:proofErr w:type="spellEnd"/>
      <w:r w:rsidRPr="2A259567">
        <w:rPr>
          <w:rFonts w:ascii="Calibri" w:eastAsia="Calibri" w:hAnsi="Calibri" w:cs="Calibri"/>
        </w:rPr>
        <w:t xml:space="preserve"> fonds belegt in bedrijven uit Europa die actief bezig zijn met een schonere toekomst. Deze bedrijven passen hun manier van werken toe om de CO2-uitstoot te verminderen en bij te dragen aan het voorkomen van klimaatverandering. Het idee is om geld te investeren in bedrijven die de wereld groener te maken, terwijl je ook de kans hebt om winst te maken. Dit fonds is daarom geschikt voor mensen die willen beleggen met oog voor het klimaat en duurzame groei.</w:t>
      </w:r>
    </w:p>
    <w:p w14:paraId="3B6ACC83" w14:textId="6BEE69D5" w:rsidR="32F1AED3" w:rsidRDefault="32F1AED3" w:rsidP="2A259567">
      <w:pPr>
        <w:spacing w:after="0"/>
      </w:pPr>
      <w:r w:rsidRPr="2A259567">
        <w:rPr>
          <w:rFonts w:ascii="Calibri" w:eastAsia="Calibri" w:hAnsi="Calibri" w:cs="Calibri"/>
        </w:rPr>
        <w:t xml:space="preserve"> </w:t>
      </w:r>
    </w:p>
    <w:p w14:paraId="35111951" w14:textId="6B736F0D" w:rsidR="32F1AED3" w:rsidRDefault="32F1AED3" w:rsidP="2A259567">
      <w:pPr>
        <w:spacing w:after="0"/>
      </w:pPr>
      <w:r w:rsidRPr="2A259567">
        <w:rPr>
          <w:rFonts w:ascii="Calibri" w:eastAsia="Calibri" w:hAnsi="Calibri" w:cs="Calibri"/>
        </w:rPr>
        <w:t xml:space="preserve">Kenmerken Allianz </w:t>
      </w:r>
      <w:proofErr w:type="spellStart"/>
      <w:r w:rsidRPr="2A259567">
        <w:rPr>
          <w:rFonts w:ascii="Calibri" w:eastAsia="Calibri" w:hAnsi="Calibri" w:cs="Calibri"/>
        </w:rPr>
        <w:t>Climate</w:t>
      </w:r>
      <w:proofErr w:type="spellEnd"/>
      <w:r w:rsidRPr="2A259567">
        <w:rPr>
          <w:rFonts w:ascii="Calibri" w:eastAsia="Calibri" w:hAnsi="Calibri" w:cs="Calibri"/>
        </w:rPr>
        <w:t xml:space="preserve"> </w:t>
      </w:r>
      <w:proofErr w:type="spellStart"/>
      <w:r w:rsidRPr="2A259567">
        <w:rPr>
          <w:rFonts w:ascii="Calibri" w:eastAsia="Calibri" w:hAnsi="Calibri" w:cs="Calibri"/>
        </w:rPr>
        <w:t>Transition</w:t>
      </w:r>
      <w:proofErr w:type="spellEnd"/>
      <w:r w:rsidRPr="2A259567">
        <w:rPr>
          <w:rFonts w:ascii="Calibri" w:eastAsia="Calibri" w:hAnsi="Calibri" w:cs="Calibri"/>
        </w:rPr>
        <w:t>:</w:t>
      </w:r>
    </w:p>
    <w:p w14:paraId="4F37D091" w14:textId="0E94B7D5" w:rsidR="32F1AED3" w:rsidRDefault="32F1AED3" w:rsidP="2A259567">
      <w:pPr>
        <w:pStyle w:val="ListParagraph"/>
        <w:numPr>
          <w:ilvl w:val="0"/>
          <w:numId w:val="5"/>
        </w:numPr>
        <w:spacing w:after="0"/>
        <w:rPr>
          <w:rFonts w:ascii="Calibri" w:eastAsia="Calibri" w:hAnsi="Calibri" w:cs="Calibri"/>
        </w:rPr>
      </w:pPr>
      <w:r w:rsidRPr="2A259567">
        <w:rPr>
          <w:rFonts w:ascii="Calibri" w:eastAsia="Calibri" w:hAnsi="Calibri" w:cs="Calibri"/>
        </w:rPr>
        <w:t>Het fonds gaat actief in gesprek met de bedrijven waar het in belegd is om hun CO2-uitstoot te stimuleren om hun CO2-uitstoot te verminderen en duurzame doelen te bereiken. Hierdoor helpt het fonds bedrijven echt vooruit in hun transitie naar een groene economie.</w:t>
      </w:r>
    </w:p>
    <w:p w14:paraId="75BBACA0" w14:textId="1FF62C5D" w:rsidR="32F1AED3" w:rsidRDefault="32F1AED3" w:rsidP="2A259567">
      <w:pPr>
        <w:pStyle w:val="ListParagraph"/>
        <w:numPr>
          <w:ilvl w:val="0"/>
          <w:numId w:val="5"/>
        </w:numPr>
        <w:spacing w:after="0"/>
        <w:rPr>
          <w:rFonts w:ascii="Calibri" w:eastAsia="Calibri" w:hAnsi="Calibri" w:cs="Calibri"/>
        </w:rPr>
      </w:pPr>
      <w:r w:rsidRPr="2A259567">
        <w:rPr>
          <w:rFonts w:ascii="Calibri" w:eastAsia="Calibri" w:hAnsi="Calibri" w:cs="Calibri"/>
        </w:rPr>
        <w:t>Het fonds belegt primair in Europese bedrijven, waardoor het een regionale focus heeft die kansen en risico's in deze regio benut.</w:t>
      </w:r>
    </w:p>
    <w:p w14:paraId="115879FF" w14:textId="44194391" w:rsidR="32F1AED3" w:rsidRDefault="32F1AED3" w:rsidP="2A259567">
      <w:pPr>
        <w:pStyle w:val="ListParagraph"/>
        <w:numPr>
          <w:ilvl w:val="0"/>
          <w:numId w:val="5"/>
        </w:numPr>
        <w:spacing w:after="0"/>
        <w:rPr>
          <w:rFonts w:ascii="Calibri" w:eastAsia="Calibri" w:hAnsi="Calibri" w:cs="Calibri"/>
        </w:rPr>
      </w:pPr>
      <w:r w:rsidRPr="2A259567">
        <w:rPr>
          <w:rFonts w:ascii="Calibri" w:eastAsia="Calibri" w:hAnsi="Calibri" w:cs="Calibri"/>
        </w:rPr>
        <w:t>Er wordt strikt risicobeheer toegepast, waarbij aandacht is voor financiële duurzaamheid en stabiliteit van de beleggingen.</w:t>
      </w:r>
    </w:p>
    <w:p w14:paraId="7775C57C" w14:textId="61B640E6" w:rsidR="32F1AED3" w:rsidRDefault="32F1AED3" w:rsidP="2A259567">
      <w:pPr>
        <w:spacing w:after="0"/>
      </w:pPr>
      <w:r w:rsidRPr="2A259567">
        <w:rPr>
          <w:rFonts w:ascii="Calibri" w:eastAsia="Calibri" w:hAnsi="Calibri" w:cs="Calibri"/>
        </w:rPr>
        <w:t xml:space="preserve"> </w:t>
      </w:r>
    </w:p>
    <w:p w14:paraId="4A7F0997" w14:textId="4811C798" w:rsidR="32F1AED3" w:rsidRDefault="32F1AED3" w:rsidP="2A259567">
      <w:pPr>
        <w:spacing w:after="0"/>
      </w:pPr>
      <w:r w:rsidRPr="2A259567">
        <w:rPr>
          <w:rFonts w:ascii="Calibri" w:eastAsia="Calibri" w:hAnsi="Calibri" w:cs="Calibri"/>
          <w:b/>
          <w:bCs/>
        </w:rPr>
        <w:t>Niet duurzaamheidscriteria</w:t>
      </w:r>
    </w:p>
    <w:p w14:paraId="61D8189A" w14:textId="7A7DBA67" w:rsidR="32F1AED3" w:rsidRDefault="32F1AED3" w:rsidP="2A259567">
      <w:pPr>
        <w:spacing w:after="0"/>
      </w:pPr>
      <w:r w:rsidRPr="2A259567">
        <w:rPr>
          <w:rFonts w:ascii="Calibri" w:eastAsia="Calibri" w:hAnsi="Calibri" w:cs="Calibri"/>
        </w:rPr>
        <w:t xml:space="preserve">Het Allianz </w:t>
      </w:r>
      <w:proofErr w:type="spellStart"/>
      <w:r w:rsidRPr="2A259567">
        <w:rPr>
          <w:rFonts w:ascii="Calibri" w:eastAsia="Calibri" w:hAnsi="Calibri" w:cs="Calibri"/>
        </w:rPr>
        <w:t>Climate</w:t>
      </w:r>
      <w:proofErr w:type="spellEnd"/>
      <w:r w:rsidRPr="2A259567">
        <w:rPr>
          <w:rFonts w:ascii="Calibri" w:eastAsia="Calibri" w:hAnsi="Calibri" w:cs="Calibri"/>
        </w:rPr>
        <w:t xml:space="preserve"> </w:t>
      </w:r>
      <w:proofErr w:type="spellStart"/>
      <w:r w:rsidRPr="2A259567">
        <w:rPr>
          <w:rFonts w:ascii="Calibri" w:eastAsia="Calibri" w:hAnsi="Calibri" w:cs="Calibri"/>
        </w:rPr>
        <w:t>Transition</w:t>
      </w:r>
      <w:proofErr w:type="spellEnd"/>
      <w:r w:rsidRPr="2A259567">
        <w:rPr>
          <w:rFonts w:ascii="Calibri" w:eastAsia="Calibri" w:hAnsi="Calibri" w:cs="Calibri"/>
        </w:rPr>
        <w:t xml:space="preserve"> fonds legt in zijn documentatie duidelijk uit dat portefeuillebeheerders actieve Europese bedrijven selecteren die zich inzetten voor de overgang naar een CO2-arme economie. Er wordt gekeken naar zowel duurzame energie als financiële prestaties van bedrijven. Klanten worden via rapportages gerapporteerd over grote wijzigingen en de redenen achter aan- en verkopen. Dit betreft vooral thema's en sectoren die passen binnen de klimaatstrategie van het fonds. Hoewel individuele transacties minder vaak worden toegelicht, is het algemene selectieproces helder en transparant voor klanten. Zo krijgt de klant inzicht in hoe het fonds effectief aan de klimaattransitie werkt en waarom bepaalde aandelen in de portefeuille zitten of juist worden verkocht.</w:t>
      </w:r>
    </w:p>
    <w:p w14:paraId="1E7C3A22" w14:textId="25BAB0B6" w:rsidR="32F1AED3" w:rsidRDefault="32F1AED3" w:rsidP="2A259567">
      <w:pPr>
        <w:spacing w:after="0"/>
      </w:pPr>
      <w:r w:rsidRPr="2A259567">
        <w:rPr>
          <w:rFonts w:ascii="Calibri" w:eastAsia="Calibri" w:hAnsi="Calibri" w:cs="Calibri"/>
        </w:rPr>
        <w:t xml:space="preserve"> </w:t>
      </w:r>
    </w:p>
    <w:p w14:paraId="3E46F0DE" w14:textId="25C76D00" w:rsidR="32F1AED3" w:rsidRDefault="21D74ABE" w:rsidP="6D5ED2DD">
      <w:pPr>
        <w:pStyle w:val="Heading2"/>
        <w:spacing w:before="40" w:after="0"/>
        <w:rPr>
          <w:rFonts w:ascii="Calibri" w:eastAsia="Calibri" w:hAnsi="Calibri" w:cs="Calibri"/>
          <w:color w:val="2F5496"/>
          <w:sz w:val="26"/>
          <w:szCs w:val="26"/>
        </w:rPr>
      </w:pPr>
      <w:bookmarkStart w:id="37" w:name="_Toc1640601366"/>
      <w:r w:rsidRPr="6D5ED2DD">
        <w:rPr>
          <w:rFonts w:ascii="Calibri" w:eastAsia="Calibri" w:hAnsi="Calibri" w:cs="Calibri"/>
          <w:color w:val="2F5496"/>
          <w:sz w:val="26"/>
          <w:szCs w:val="26"/>
        </w:rPr>
        <w:t>2.5 Historisch risico en rendementsverhouding</w:t>
      </w:r>
      <w:bookmarkEnd w:id="37"/>
    </w:p>
    <w:p w14:paraId="167162E1" w14:textId="1D2B0094" w:rsidR="32F1AED3" w:rsidRDefault="32F1AED3" w:rsidP="2A259567">
      <w:pPr>
        <w:spacing w:after="0"/>
      </w:pPr>
      <w:r w:rsidRPr="2A259567">
        <w:rPr>
          <w:rFonts w:ascii="Calibri" w:eastAsia="Calibri" w:hAnsi="Calibri" w:cs="Calibri"/>
        </w:rPr>
        <w:t xml:space="preserve">Robeco Global Green </w:t>
      </w:r>
      <w:proofErr w:type="spellStart"/>
      <w:r w:rsidRPr="2A259567">
        <w:rPr>
          <w:rFonts w:ascii="Calibri" w:eastAsia="Calibri" w:hAnsi="Calibri" w:cs="Calibri"/>
        </w:rPr>
        <w:t>Bonds</w:t>
      </w:r>
      <w:proofErr w:type="spellEnd"/>
      <w:r w:rsidRPr="2A259567">
        <w:rPr>
          <w:rFonts w:ascii="Calibri" w:eastAsia="Calibri" w:hAnsi="Calibri" w:cs="Calibri"/>
        </w:rPr>
        <w:t xml:space="preserve"> heeft historisch gezien de beste verhouding tussen rendement en risico. Over de afgelopen vijf jaar vergeleken het fonds een gemiddeld jaarlijks rendement van ongeveer -2,31% met een volatiliteit van 6,48%. Dit wijst op een relatief stabiele prestatie, mede dankzij een brede spreiding en een consistente beleggingsstrategie met een lang trackrecord. Hierdoor scoort Robeco vaak beter op de scherpe ratio dan op de andere fondsen.</w:t>
      </w:r>
    </w:p>
    <w:p w14:paraId="41EF096A" w14:textId="2C3036F2" w:rsidR="32F1AED3" w:rsidRDefault="32F1AED3" w:rsidP="2A259567">
      <w:pPr>
        <w:spacing w:after="0"/>
      </w:pPr>
      <w:r w:rsidRPr="2A259567">
        <w:rPr>
          <w:rFonts w:ascii="Calibri" w:eastAsia="Calibri" w:hAnsi="Calibri" w:cs="Calibri"/>
        </w:rPr>
        <w:t xml:space="preserve"> </w:t>
      </w:r>
    </w:p>
    <w:p w14:paraId="2F216723" w14:textId="70EC3AA3" w:rsidR="32F1AED3" w:rsidRDefault="32F1AED3" w:rsidP="2A259567">
      <w:pPr>
        <w:spacing w:after="0"/>
      </w:pPr>
      <w:r w:rsidRPr="2A259567">
        <w:rPr>
          <w:rFonts w:ascii="Calibri" w:eastAsia="Calibri" w:hAnsi="Calibri" w:cs="Calibri"/>
        </w:rPr>
        <w:t xml:space="preserve">ASN Energie &amp; Innovatiefonds behaalde recent een kwartaalrendement van 0,46% en een totaalrendement van +951% sinds de start, maar heeft daarbij een hoger risicoprofiel. Dit grotere risico komt door het beleggen in innovatieve en minder volwassen markten, die schakelaar zijn voor grotere schommelingen. Allianz Green Bond en Allianz </w:t>
      </w:r>
      <w:proofErr w:type="spellStart"/>
      <w:r w:rsidRPr="2A259567">
        <w:rPr>
          <w:rFonts w:ascii="Calibri" w:eastAsia="Calibri" w:hAnsi="Calibri" w:cs="Calibri"/>
        </w:rPr>
        <w:t>Climate</w:t>
      </w:r>
      <w:proofErr w:type="spellEnd"/>
      <w:r w:rsidRPr="2A259567">
        <w:rPr>
          <w:rFonts w:ascii="Calibri" w:eastAsia="Calibri" w:hAnsi="Calibri" w:cs="Calibri"/>
        </w:rPr>
        <w:t xml:space="preserve"> </w:t>
      </w:r>
      <w:proofErr w:type="spellStart"/>
      <w:r w:rsidRPr="2A259567">
        <w:rPr>
          <w:rFonts w:ascii="Calibri" w:eastAsia="Calibri" w:hAnsi="Calibri" w:cs="Calibri"/>
        </w:rPr>
        <w:t>Transition</w:t>
      </w:r>
      <w:proofErr w:type="spellEnd"/>
      <w:r w:rsidRPr="2A259567">
        <w:rPr>
          <w:rFonts w:ascii="Calibri" w:eastAsia="Calibri" w:hAnsi="Calibri" w:cs="Calibri"/>
        </w:rPr>
        <w:t xml:space="preserve"> laten evenveel wisselende rendementen zien en iets hogere risico's hebben dan Robeco, vooral omdat zij investeren in sectoren en obligaties met meer volatiliteit. Door zijn meer conservatieve en gespreide aanpak Robeco over de lange termijn een stabieler en consistenter rendement met minder risico. Dit maakt het historisch de beste keuze als je kijkt naar risico gewogen rendement.</w:t>
      </w:r>
    </w:p>
    <w:p w14:paraId="3AD86A72" w14:textId="73005CA0" w:rsidR="32F1AED3" w:rsidRDefault="32F1AED3" w:rsidP="2A259567">
      <w:pPr>
        <w:spacing w:after="0"/>
      </w:pPr>
      <w:r w:rsidRPr="2A259567">
        <w:rPr>
          <w:rFonts w:ascii="Calibri" w:eastAsia="Calibri" w:hAnsi="Calibri" w:cs="Calibri"/>
        </w:rPr>
        <w:t xml:space="preserve"> </w:t>
      </w:r>
    </w:p>
    <w:p w14:paraId="63DEF87C" w14:textId="33F0285D" w:rsidR="32F1AED3" w:rsidRDefault="21D74ABE" w:rsidP="6D5ED2DD">
      <w:pPr>
        <w:pStyle w:val="Heading2"/>
        <w:spacing w:before="40" w:after="0"/>
        <w:rPr>
          <w:rFonts w:ascii="Calibri" w:eastAsia="Calibri" w:hAnsi="Calibri" w:cs="Calibri"/>
          <w:color w:val="2F5496"/>
          <w:sz w:val="26"/>
          <w:szCs w:val="26"/>
        </w:rPr>
      </w:pPr>
      <w:bookmarkStart w:id="38" w:name="_Toc567878121"/>
      <w:r w:rsidRPr="6D5ED2DD">
        <w:rPr>
          <w:rFonts w:ascii="Calibri" w:eastAsia="Calibri" w:hAnsi="Calibri" w:cs="Calibri"/>
          <w:color w:val="2F5496"/>
          <w:sz w:val="26"/>
          <w:szCs w:val="26"/>
        </w:rPr>
        <w:t>2.6 Kosten</w:t>
      </w:r>
      <w:bookmarkEnd w:id="38"/>
    </w:p>
    <w:p w14:paraId="54C1701F" w14:textId="4627D603" w:rsidR="32F1AED3" w:rsidRDefault="32F1AED3" w:rsidP="2A259567">
      <w:pPr>
        <w:spacing w:after="0"/>
      </w:pPr>
      <w:r w:rsidRPr="2A259567">
        <w:rPr>
          <w:rFonts w:ascii="Calibri" w:eastAsia="Calibri" w:hAnsi="Calibri" w:cs="Calibri"/>
        </w:rPr>
        <w:t xml:space="preserve">Voor het Robeco Green </w:t>
      </w:r>
      <w:proofErr w:type="spellStart"/>
      <w:r w:rsidRPr="2A259567">
        <w:rPr>
          <w:rFonts w:ascii="Calibri" w:eastAsia="Calibri" w:hAnsi="Calibri" w:cs="Calibri"/>
        </w:rPr>
        <w:t>Bonds</w:t>
      </w:r>
      <w:proofErr w:type="spellEnd"/>
      <w:r w:rsidRPr="2A259567">
        <w:rPr>
          <w:rFonts w:ascii="Calibri" w:eastAsia="Calibri" w:hAnsi="Calibri" w:cs="Calibri"/>
        </w:rPr>
        <w:t xml:space="preserve"> fonds liggen de beheerskosten (</w:t>
      </w:r>
      <w:proofErr w:type="spellStart"/>
      <w:r w:rsidRPr="2A259567">
        <w:rPr>
          <w:rFonts w:ascii="Calibri" w:eastAsia="Calibri" w:hAnsi="Calibri" w:cs="Calibri"/>
        </w:rPr>
        <w:t>Loopende</w:t>
      </w:r>
      <w:proofErr w:type="spellEnd"/>
      <w:r w:rsidRPr="2A259567">
        <w:rPr>
          <w:rFonts w:ascii="Calibri" w:eastAsia="Calibri" w:hAnsi="Calibri" w:cs="Calibri"/>
        </w:rPr>
        <w:t xml:space="preserve"> Kosten Cijfer, OCF) Gemiddeld tussen de 0,45% en 0,60% per jaar. Dit is relatief laag binnen de categorie groene obligatiefondsen. Het ASN Energie &amp; Innovatiefonds rekent kosten van ongeveer 1,35% per jaar, wat vergeleken met andere duurzame fondsen behoorlijk hoog is. Allianz Green Bond heeft een OCF van ongeveer 0,48% per jaar, wat bijna gelijk is aan die van Robeco en economisch voordelig genoemd kan worden. Het Allianz </w:t>
      </w:r>
      <w:proofErr w:type="spellStart"/>
      <w:r w:rsidRPr="2A259567">
        <w:rPr>
          <w:rFonts w:ascii="Calibri" w:eastAsia="Calibri" w:hAnsi="Calibri" w:cs="Calibri"/>
        </w:rPr>
        <w:t>Climate</w:t>
      </w:r>
      <w:proofErr w:type="spellEnd"/>
      <w:r w:rsidRPr="2A259567">
        <w:rPr>
          <w:rFonts w:ascii="Calibri" w:eastAsia="Calibri" w:hAnsi="Calibri" w:cs="Calibri"/>
        </w:rPr>
        <w:t xml:space="preserve"> </w:t>
      </w:r>
      <w:proofErr w:type="spellStart"/>
      <w:r w:rsidRPr="2A259567">
        <w:rPr>
          <w:rFonts w:ascii="Calibri" w:eastAsia="Calibri" w:hAnsi="Calibri" w:cs="Calibri"/>
        </w:rPr>
        <w:t>Transition</w:t>
      </w:r>
      <w:proofErr w:type="spellEnd"/>
      <w:r w:rsidRPr="2A259567">
        <w:rPr>
          <w:rFonts w:ascii="Calibri" w:eastAsia="Calibri" w:hAnsi="Calibri" w:cs="Calibri"/>
        </w:rPr>
        <w:t xml:space="preserve"> fonds kent ongeveer 1,7% per jaar de hoogste kosten, wat het rendement relatief het meest belast.</w:t>
      </w:r>
    </w:p>
    <w:p w14:paraId="0656F9BE" w14:textId="2FB17358" w:rsidR="32F1AED3" w:rsidRDefault="32F1AED3" w:rsidP="2A259567">
      <w:pPr>
        <w:spacing w:after="0"/>
      </w:pPr>
      <w:r w:rsidRPr="2A259567">
        <w:rPr>
          <w:rFonts w:ascii="Calibri" w:eastAsia="Calibri" w:hAnsi="Calibri" w:cs="Calibri"/>
        </w:rPr>
        <w:t xml:space="preserve"> </w:t>
      </w:r>
    </w:p>
    <w:p w14:paraId="36E58FA2" w14:textId="07315E55" w:rsidR="32F1AED3" w:rsidRDefault="32F1AED3" w:rsidP="2A259567">
      <w:pPr>
        <w:spacing w:after="0"/>
      </w:pPr>
      <w:r w:rsidRPr="2A259567">
        <w:rPr>
          <w:rFonts w:ascii="Calibri" w:eastAsia="Calibri" w:hAnsi="Calibri" w:cs="Calibri"/>
        </w:rPr>
        <w:t xml:space="preserve">Samengevat zijn de kosten bij Robeco Green </w:t>
      </w:r>
      <w:proofErr w:type="spellStart"/>
      <w:r w:rsidRPr="2A259567">
        <w:rPr>
          <w:rFonts w:ascii="Calibri" w:eastAsia="Calibri" w:hAnsi="Calibri" w:cs="Calibri"/>
        </w:rPr>
        <w:t>Bonds</w:t>
      </w:r>
      <w:proofErr w:type="spellEnd"/>
      <w:r w:rsidRPr="2A259567">
        <w:rPr>
          <w:rFonts w:ascii="Calibri" w:eastAsia="Calibri" w:hAnsi="Calibri" w:cs="Calibri"/>
        </w:rPr>
        <w:t xml:space="preserve"> en Allianz Green Bond het meest aantrekkelijk. ASN Energie &amp; Innovatiefonds en vooral Allianz </w:t>
      </w:r>
      <w:proofErr w:type="spellStart"/>
      <w:r w:rsidRPr="2A259567">
        <w:rPr>
          <w:rFonts w:ascii="Calibri" w:eastAsia="Calibri" w:hAnsi="Calibri" w:cs="Calibri"/>
        </w:rPr>
        <w:t>Climate</w:t>
      </w:r>
      <w:proofErr w:type="spellEnd"/>
      <w:r w:rsidRPr="2A259567">
        <w:rPr>
          <w:rFonts w:ascii="Calibri" w:eastAsia="Calibri" w:hAnsi="Calibri" w:cs="Calibri"/>
        </w:rPr>
        <w:t xml:space="preserve"> </w:t>
      </w:r>
      <w:proofErr w:type="spellStart"/>
      <w:r w:rsidRPr="2A259567">
        <w:rPr>
          <w:rFonts w:ascii="Calibri" w:eastAsia="Calibri" w:hAnsi="Calibri" w:cs="Calibri"/>
        </w:rPr>
        <w:t>Transition</w:t>
      </w:r>
      <w:proofErr w:type="spellEnd"/>
      <w:r w:rsidRPr="2A259567">
        <w:rPr>
          <w:rFonts w:ascii="Calibri" w:eastAsia="Calibri" w:hAnsi="Calibri" w:cs="Calibri"/>
        </w:rPr>
        <w:t xml:space="preserve"> zit aan de hoge kant van het kostenplaatje. Dit betekent dat het rendement van beleggers bij ASN en Allianz </w:t>
      </w:r>
      <w:proofErr w:type="spellStart"/>
      <w:r w:rsidRPr="2A259567">
        <w:rPr>
          <w:rFonts w:ascii="Calibri" w:eastAsia="Calibri" w:hAnsi="Calibri" w:cs="Calibri"/>
        </w:rPr>
        <w:t>Climate</w:t>
      </w:r>
      <w:proofErr w:type="spellEnd"/>
      <w:r w:rsidRPr="2A259567">
        <w:rPr>
          <w:rFonts w:ascii="Calibri" w:eastAsia="Calibri" w:hAnsi="Calibri" w:cs="Calibri"/>
        </w:rPr>
        <w:t xml:space="preserve"> </w:t>
      </w:r>
      <w:proofErr w:type="spellStart"/>
      <w:r w:rsidRPr="2A259567">
        <w:rPr>
          <w:rFonts w:ascii="Calibri" w:eastAsia="Calibri" w:hAnsi="Calibri" w:cs="Calibri"/>
        </w:rPr>
        <w:t>Transition</w:t>
      </w:r>
      <w:proofErr w:type="spellEnd"/>
      <w:r w:rsidRPr="2A259567">
        <w:rPr>
          <w:rFonts w:ascii="Calibri" w:eastAsia="Calibri" w:hAnsi="Calibri" w:cs="Calibri"/>
        </w:rPr>
        <w:t xml:space="preserve"> sterker wordt beïnvloed door de kosten dan bij Robeco en Allianz Green Bond.</w:t>
      </w:r>
    </w:p>
    <w:p w14:paraId="6D091DE0" w14:textId="264A8A54" w:rsidR="32F1AED3" w:rsidRDefault="32F1AED3" w:rsidP="2A259567">
      <w:pPr>
        <w:spacing w:after="0"/>
      </w:pPr>
      <w:r w:rsidRPr="2A259567">
        <w:rPr>
          <w:rFonts w:ascii="Calibri" w:eastAsia="Calibri" w:hAnsi="Calibri" w:cs="Calibri"/>
        </w:rPr>
        <w:t xml:space="preserve"> </w:t>
      </w:r>
    </w:p>
    <w:p w14:paraId="2FCFB7AF" w14:textId="4D24C9AA" w:rsidR="32F1AED3" w:rsidRDefault="21D74ABE" w:rsidP="6D5ED2DD">
      <w:pPr>
        <w:pStyle w:val="Heading2"/>
        <w:spacing w:before="40" w:after="0"/>
        <w:rPr>
          <w:rFonts w:ascii="Calibri" w:eastAsia="Calibri" w:hAnsi="Calibri" w:cs="Calibri"/>
          <w:color w:val="2F5496"/>
          <w:sz w:val="26"/>
          <w:szCs w:val="26"/>
        </w:rPr>
      </w:pPr>
      <w:bookmarkStart w:id="39" w:name="_Toc1726299329"/>
      <w:r w:rsidRPr="6D5ED2DD">
        <w:rPr>
          <w:rFonts w:ascii="Calibri" w:eastAsia="Calibri" w:hAnsi="Calibri" w:cs="Calibri"/>
          <w:color w:val="2F5496"/>
          <w:sz w:val="26"/>
          <w:szCs w:val="26"/>
        </w:rPr>
        <w:t>2.7 Duurzaamheidscriteria</w:t>
      </w:r>
      <w:bookmarkEnd w:id="39"/>
    </w:p>
    <w:p w14:paraId="51D8618D" w14:textId="2DD72197" w:rsidR="32F1AED3" w:rsidRDefault="32F1AED3" w:rsidP="2A259567">
      <w:pPr>
        <w:spacing w:after="0"/>
      </w:pPr>
      <w:r w:rsidRPr="2A259567">
        <w:rPr>
          <w:rFonts w:ascii="Calibri" w:eastAsia="Calibri" w:hAnsi="Calibri" w:cs="Calibri"/>
          <w:b/>
          <w:bCs/>
        </w:rPr>
        <w:t xml:space="preserve"> </w:t>
      </w:r>
    </w:p>
    <w:p w14:paraId="5A0331AF" w14:textId="559CA883" w:rsidR="32F1AED3" w:rsidRDefault="32F1AED3" w:rsidP="2A259567">
      <w:pPr>
        <w:spacing w:after="0"/>
      </w:pPr>
      <w:r w:rsidRPr="2A259567">
        <w:rPr>
          <w:rFonts w:ascii="Calibri" w:eastAsia="Calibri" w:hAnsi="Calibri" w:cs="Calibri"/>
          <w:b/>
          <w:bCs/>
        </w:rPr>
        <w:t xml:space="preserve">Robeco green </w:t>
      </w:r>
      <w:proofErr w:type="spellStart"/>
      <w:r w:rsidRPr="2A259567">
        <w:rPr>
          <w:rFonts w:ascii="Calibri" w:eastAsia="Calibri" w:hAnsi="Calibri" w:cs="Calibri"/>
          <w:b/>
          <w:bCs/>
        </w:rPr>
        <w:t>bonds</w:t>
      </w:r>
      <w:proofErr w:type="spellEnd"/>
    </w:p>
    <w:p w14:paraId="3FEE2543" w14:textId="4E0968B2" w:rsidR="32F1AED3" w:rsidRDefault="32F1AED3" w:rsidP="2A259567">
      <w:pPr>
        <w:spacing w:after="0"/>
      </w:pPr>
      <w:r w:rsidRPr="2A259567">
        <w:rPr>
          <w:rFonts w:ascii="Calibri" w:eastAsia="Calibri" w:hAnsi="Calibri" w:cs="Calibri"/>
        </w:rPr>
        <w:t xml:space="preserve">Het fonds investeert vooral in groene obligaties, maar kan ook sociale en duurzame obligaties opnemen als deze voldoet aan strenge duurzaamheidscriteria. Minimaal 90% van het fondsvermogen wordt belegd, met een duidelijke focus op projecten die voldoen aan internationale richtlijnen zoals de UN </w:t>
      </w:r>
      <w:proofErr w:type="spellStart"/>
      <w:r w:rsidRPr="2A259567">
        <w:rPr>
          <w:rFonts w:ascii="Calibri" w:eastAsia="Calibri" w:hAnsi="Calibri" w:cs="Calibri"/>
        </w:rPr>
        <w:t>Sustainable</w:t>
      </w:r>
      <w:proofErr w:type="spellEnd"/>
      <w:r w:rsidRPr="2A259567">
        <w:rPr>
          <w:rFonts w:ascii="Calibri" w:eastAsia="Calibri" w:hAnsi="Calibri" w:cs="Calibri"/>
        </w:rPr>
        <w:t xml:space="preserve"> Development Goals en strikte uitsluitingslijsten voor bestaande sectoren. ESG is volledig geïntegreerd: het fonds verzamelt bedrijven op milieu-impact (CO2-reductie, watergebruik), sociale aspecten (arbeidsomstandigheden, mensenrechten) en </w:t>
      </w:r>
      <w:proofErr w:type="spellStart"/>
      <w:r w:rsidRPr="2A259567">
        <w:rPr>
          <w:rFonts w:ascii="Calibri" w:eastAsia="Calibri" w:hAnsi="Calibri" w:cs="Calibri"/>
        </w:rPr>
        <w:t>governance</w:t>
      </w:r>
      <w:proofErr w:type="spellEnd"/>
      <w:r w:rsidRPr="2A259567">
        <w:rPr>
          <w:rFonts w:ascii="Calibri" w:eastAsia="Calibri" w:hAnsi="Calibri" w:cs="Calibri"/>
        </w:rPr>
        <w:t xml:space="preserve"> (transparantie, anti-corruptiebeleid). Daarnaast rapporteert Robeco transparant over de milieuvoetafdruk, SDG-score en engagementactiviteiten, en wordt er actief stemgedrag en invloed beïnvloed op bedrijven die worden belegd. Dit zorgt ervoor dat het fonds een duidelijk aantoonbare duurzame impact heeft. </w:t>
      </w:r>
    </w:p>
    <w:p w14:paraId="4BA3E22B" w14:textId="4F1C24DA" w:rsidR="32F1AED3" w:rsidRDefault="32F1AED3" w:rsidP="2A259567">
      <w:pPr>
        <w:spacing w:after="0"/>
      </w:pPr>
      <w:r w:rsidRPr="2A259567">
        <w:rPr>
          <w:rFonts w:ascii="Calibri" w:eastAsia="Calibri" w:hAnsi="Calibri" w:cs="Calibri"/>
        </w:rPr>
        <w:t xml:space="preserve"> </w:t>
      </w:r>
    </w:p>
    <w:p w14:paraId="61F48BD1" w14:textId="12860A32" w:rsidR="32F1AED3" w:rsidRDefault="32F1AED3" w:rsidP="2A259567">
      <w:pPr>
        <w:spacing w:after="0"/>
      </w:pPr>
      <w:r w:rsidRPr="2A259567">
        <w:rPr>
          <w:rFonts w:ascii="Calibri" w:eastAsia="Calibri" w:hAnsi="Calibri" w:cs="Calibri"/>
        </w:rPr>
        <w:t xml:space="preserve">Robeco Global Green </w:t>
      </w:r>
      <w:proofErr w:type="spellStart"/>
      <w:r w:rsidRPr="2A259567">
        <w:rPr>
          <w:rFonts w:ascii="Calibri" w:eastAsia="Calibri" w:hAnsi="Calibri" w:cs="Calibri"/>
        </w:rPr>
        <w:t>Bonds</w:t>
      </w:r>
      <w:proofErr w:type="spellEnd"/>
      <w:r w:rsidRPr="2A259567">
        <w:rPr>
          <w:rFonts w:ascii="Calibri" w:eastAsia="Calibri" w:hAnsi="Calibri" w:cs="Calibri"/>
        </w:rPr>
        <w:t xml:space="preserve"> heeft een vijfstappenproces gebruikt om te beslissen welke groene obligaties worden opgenomen. Ze sluitende obligaties uit die niet voldoen aan internationale normen voor groene obligaties. Er wordt ook gekeken naar sociale aspecten en </w:t>
      </w:r>
      <w:proofErr w:type="spellStart"/>
      <w:r w:rsidRPr="2A259567">
        <w:rPr>
          <w:rFonts w:ascii="Calibri" w:eastAsia="Calibri" w:hAnsi="Calibri" w:cs="Calibri"/>
        </w:rPr>
        <w:t>governance</w:t>
      </w:r>
      <w:proofErr w:type="spellEnd"/>
      <w:r w:rsidRPr="2A259567">
        <w:rPr>
          <w:rFonts w:ascii="Calibri" w:eastAsia="Calibri" w:hAnsi="Calibri" w:cs="Calibri"/>
        </w:rPr>
        <w:t xml:space="preserve"> om ervoor te zorgen dat bedrijven verantwoord omgaan met mensenrechten en transparantie. Daarnaast voert Robeco actief engagement en stembeleid uit om bedrijven te stimuleren duurzaam te blijven werken.</w:t>
      </w:r>
    </w:p>
    <w:p w14:paraId="262BC752" w14:textId="20351DE2" w:rsidR="32F1AED3" w:rsidRDefault="32F1AED3" w:rsidP="2A259567">
      <w:pPr>
        <w:spacing w:after="0"/>
      </w:pPr>
      <w:r w:rsidRPr="2A259567">
        <w:rPr>
          <w:rFonts w:ascii="Calibri" w:eastAsia="Calibri" w:hAnsi="Calibri" w:cs="Calibri"/>
        </w:rPr>
        <w:t xml:space="preserve"> </w:t>
      </w:r>
    </w:p>
    <w:p w14:paraId="42604D78" w14:textId="31AFF913" w:rsidR="32F1AED3" w:rsidRDefault="32F1AED3" w:rsidP="2A259567">
      <w:pPr>
        <w:spacing w:after="0"/>
      </w:pPr>
      <w:r w:rsidRPr="2A259567">
        <w:rPr>
          <w:rFonts w:ascii="Calibri" w:eastAsia="Calibri" w:hAnsi="Calibri" w:cs="Calibri"/>
        </w:rPr>
        <w:t xml:space="preserve">Robeco hanteert strenge uitsluitingen en volgt internationale normen zoals de Green Bond </w:t>
      </w:r>
      <w:proofErr w:type="spellStart"/>
      <w:r w:rsidRPr="2A259567">
        <w:rPr>
          <w:rFonts w:ascii="Calibri" w:eastAsia="Calibri" w:hAnsi="Calibri" w:cs="Calibri"/>
        </w:rPr>
        <w:t>Principles</w:t>
      </w:r>
      <w:proofErr w:type="spellEnd"/>
      <w:r w:rsidRPr="2A259567">
        <w:rPr>
          <w:rFonts w:ascii="Calibri" w:eastAsia="Calibri" w:hAnsi="Calibri" w:cs="Calibri"/>
        </w:rPr>
        <w:t>. Ze sluiten connectoren als fossiele brandstoffen uit en beschermen dat minimaal 90% van het fonds duurzaam wordt beschermd. De ondergrenzen voor duurzaamheid zijn daarmee vrij hoog, met een sterke focus op klimaateffect en milieu-impact.</w:t>
      </w:r>
    </w:p>
    <w:p w14:paraId="503BBDC8" w14:textId="160E74D8" w:rsidR="32F1AED3" w:rsidRDefault="32F1AED3" w:rsidP="2A259567">
      <w:pPr>
        <w:spacing w:after="0"/>
      </w:pPr>
      <w:r w:rsidRPr="2A259567">
        <w:rPr>
          <w:rFonts w:ascii="Calibri" w:eastAsia="Calibri" w:hAnsi="Calibri" w:cs="Calibri"/>
        </w:rPr>
        <w:t xml:space="preserve"> </w:t>
      </w:r>
    </w:p>
    <w:p w14:paraId="02D731A0" w14:textId="2659EB80" w:rsidR="32F1AED3" w:rsidRDefault="32F1AED3" w:rsidP="2A259567">
      <w:pPr>
        <w:spacing w:after="0"/>
      </w:pPr>
      <w:r w:rsidRPr="2A259567">
        <w:rPr>
          <w:rFonts w:ascii="Calibri" w:eastAsia="Calibri" w:hAnsi="Calibri" w:cs="Calibri"/>
          <w:b/>
          <w:bCs/>
        </w:rPr>
        <w:t>ASN energie &amp; innovatiefonds</w:t>
      </w:r>
    </w:p>
    <w:p w14:paraId="5E386568" w14:textId="283D845B" w:rsidR="32F1AED3" w:rsidRDefault="32F1AED3" w:rsidP="2A259567">
      <w:pPr>
        <w:spacing w:after="0"/>
      </w:pPr>
      <w:r w:rsidRPr="2A259567">
        <w:rPr>
          <w:rFonts w:ascii="Calibri" w:eastAsia="Calibri" w:hAnsi="Calibri" w:cs="Calibri"/>
        </w:rPr>
        <w:t xml:space="preserve">Het ASN Energie &amp; Innovatiefonds hanteert een strikt duurzaam beleggingsbeleid, waarbij alleen pijnlijk wordt in bewezen nieuwe technologieën en projecten die bijdragen aan de energietransitie in Nederland. Het fonds financiert uitsluitend duurzame energieopwekking, energieopslag, circulaire productie, duurzame mobiliteit en energie-efficiënte gebouwen. Het wordt zowel in eigen vermogen als in goedkope, afhankelijke van het risicoprofiel van het project opgelost. Er zijn duidelijke criteria: elke investering moet bijdragen aan de duurzaamheidsdoelen, voldoet aan strenge ESG-richtlijnen (milieu, maatschappij en </w:t>
      </w:r>
      <w:proofErr w:type="spellStart"/>
      <w:r w:rsidRPr="2A259567">
        <w:rPr>
          <w:rFonts w:ascii="Calibri" w:eastAsia="Calibri" w:hAnsi="Calibri" w:cs="Calibri"/>
        </w:rPr>
        <w:t>governance</w:t>
      </w:r>
      <w:proofErr w:type="spellEnd"/>
      <w:r w:rsidRPr="2A259567">
        <w:rPr>
          <w:rFonts w:ascii="Calibri" w:eastAsia="Calibri" w:hAnsi="Calibri" w:cs="Calibri"/>
        </w:rPr>
        <w:t>) en vindt alleen plaats binnen Nederland. De selectie en monitoring van projecten gebeurt door een gespecialiseerd team dat maximale impact en risicobeperking mogelijk maakt. Zo wordt het beleid actief gestuurd op concrete duurzame resultaten en transparantie richting investeerders.</w:t>
      </w:r>
    </w:p>
    <w:p w14:paraId="3AAF0258" w14:textId="2F324939" w:rsidR="32F1AED3" w:rsidRDefault="32F1AED3" w:rsidP="2A259567">
      <w:pPr>
        <w:spacing w:after="0"/>
      </w:pPr>
      <w:r w:rsidRPr="2A259567">
        <w:rPr>
          <w:rFonts w:ascii="Calibri" w:eastAsia="Calibri" w:hAnsi="Calibri" w:cs="Calibri"/>
        </w:rPr>
        <w:t xml:space="preserve"> </w:t>
      </w:r>
    </w:p>
    <w:p w14:paraId="037A7C73" w14:textId="2FC160A5" w:rsidR="32F1AED3" w:rsidRDefault="32F1AED3" w:rsidP="2A259567">
      <w:pPr>
        <w:spacing w:after="0"/>
      </w:pPr>
      <w:r w:rsidRPr="2A259567">
        <w:rPr>
          <w:rFonts w:ascii="Calibri" w:eastAsia="Calibri" w:hAnsi="Calibri" w:cs="Calibri"/>
        </w:rPr>
        <w:t>Het fonds sluit sectoren uit die niet duurzaam zijn, zoals fossiele brandstoffen. Ze passen op een best-in-class methode om te investeren in de meest duurzame projecten binnen hun thema, zoals duurzame energie en innovatie. Daarnaast richt het fonds zich op impactbeleggingen die echt bijdragen aan de energietransitie. Het fonds heeft ook een actief engagement- en stembeleid om bedrijven aan te moedigen zich te blijven verbeteren op het gebied van ESG-criteria. Zo probeer ze niet alleen te investeren, maar ook bedrijven te sturen richting meer duurzaamheid.</w:t>
      </w:r>
    </w:p>
    <w:p w14:paraId="08CE3C10" w14:textId="7E9361BF" w:rsidR="32F1AED3" w:rsidRDefault="32F1AED3" w:rsidP="2A259567">
      <w:pPr>
        <w:spacing w:after="0"/>
      </w:pPr>
      <w:r w:rsidRPr="2A259567">
        <w:rPr>
          <w:rFonts w:ascii="Calibri" w:eastAsia="Calibri" w:hAnsi="Calibri" w:cs="Calibri"/>
        </w:rPr>
        <w:t xml:space="preserve"> </w:t>
      </w:r>
    </w:p>
    <w:p w14:paraId="4358E3D4" w14:textId="137557A6" w:rsidR="32F1AED3" w:rsidRDefault="32F1AED3" w:rsidP="2A259567">
      <w:pPr>
        <w:spacing w:after="0"/>
      </w:pPr>
      <w:r w:rsidRPr="2A259567">
        <w:rPr>
          <w:rFonts w:ascii="Calibri" w:eastAsia="Calibri" w:hAnsi="Calibri" w:cs="Calibri"/>
        </w:rPr>
        <w:t>ASN heeft ook strikte uitsluitingen, waarvan fossiele brandstoffen, en belegt alleen in duurzame projecten binnen Nederland. Het fonds vereist concrete duurzame impact en houdt een hoge lat aan ESG-criteria. Dit fonds is daarmee erg selectief en sluit veel niet-duurzame investeringen uit.</w:t>
      </w:r>
    </w:p>
    <w:p w14:paraId="3484D58E" w14:textId="15B4525D" w:rsidR="32F1AED3" w:rsidRDefault="32F1AED3" w:rsidP="2A259567">
      <w:pPr>
        <w:spacing w:after="0"/>
      </w:pPr>
      <w:r w:rsidRPr="2A259567">
        <w:rPr>
          <w:rFonts w:ascii="Calibri" w:eastAsia="Calibri" w:hAnsi="Calibri" w:cs="Calibri"/>
        </w:rPr>
        <w:t xml:space="preserve"> </w:t>
      </w:r>
    </w:p>
    <w:p w14:paraId="3D4B392D" w14:textId="6A5397C1" w:rsidR="32F1AED3" w:rsidRDefault="32F1AED3" w:rsidP="2A259567">
      <w:pPr>
        <w:spacing w:after="0"/>
      </w:pPr>
      <w:r w:rsidRPr="2A259567">
        <w:rPr>
          <w:rFonts w:ascii="Calibri" w:eastAsia="Calibri" w:hAnsi="Calibri" w:cs="Calibri"/>
          <w:b/>
          <w:bCs/>
        </w:rPr>
        <w:t>Allianz green bond</w:t>
      </w:r>
    </w:p>
    <w:p w14:paraId="28EC2334" w14:textId="28E5476E" w:rsidR="32F1AED3" w:rsidRDefault="32F1AED3" w:rsidP="2A259567">
      <w:pPr>
        <w:spacing w:after="0"/>
      </w:pPr>
      <w:r w:rsidRPr="2A259567">
        <w:rPr>
          <w:rFonts w:ascii="Calibri" w:eastAsia="Calibri" w:hAnsi="Calibri" w:cs="Calibri"/>
        </w:rPr>
        <w:t xml:space="preserve">Het Allianz Green Bond fonds voert een duurzaam beleggingsbeleid door alleen te investeren in groene obligaties die voldoen aan internationale standaarden, zoals de ICMA Green Bond </w:t>
      </w:r>
      <w:proofErr w:type="spellStart"/>
      <w:r w:rsidRPr="2A259567">
        <w:rPr>
          <w:rFonts w:ascii="Calibri" w:eastAsia="Calibri" w:hAnsi="Calibri" w:cs="Calibri"/>
        </w:rPr>
        <w:t>Principles</w:t>
      </w:r>
      <w:proofErr w:type="spellEnd"/>
      <w:r w:rsidRPr="2A259567">
        <w:rPr>
          <w:rFonts w:ascii="Calibri" w:eastAsia="Calibri" w:hAnsi="Calibri" w:cs="Calibri"/>
        </w:rPr>
        <w:t xml:space="preserve">. De selectie richt zich op projecten die een positieve bijdrage leveren aan het milieu, zoals duurzame energie en schoon transport. ESG-criteria, waaronder sociale impact en </w:t>
      </w:r>
      <w:proofErr w:type="spellStart"/>
      <w:r w:rsidRPr="2A259567">
        <w:rPr>
          <w:rFonts w:ascii="Calibri" w:eastAsia="Calibri" w:hAnsi="Calibri" w:cs="Calibri"/>
        </w:rPr>
        <w:t>governance</w:t>
      </w:r>
      <w:proofErr w:type="spellEnd"/>
      <w:r w:rsidRPr="2A259567">
        <w:rPr>
          <w:rFonts w:ascii="Calibri" w:eastAsia="Calibri" w:hAnsi="Calibri" w:cs="Calibri"/>
        </w:rPr>
        <w:t xml:space="preserve">, worden meegenomen in de analyse van elke obligatie. Regelmatig wordt gecontroleerd dat het kapitaal daadwerkelijk wordt ingezet voor milieuvriendelijke en sociaal verantwoorde projecten.  </w:t>
      </w:r>
    </w:p>
    <w:p w14:paraId="73628D98" w14:textId="3D814451" w:rsidR="32F1AED3" w:rsidRDefault="32F1AED3" w:rsidP="2A259567">
      <w:pPr>
        <w:spacing w:after="0"/>
      </w:pPr>
      <w:r w:rsidRPr="2A259567">
        <w:rPr>
          <w:rFonts w:ascii="Calibri" w:eastAsia="Calibri" w:hAnsi="Calibri" w:cs="Calibri"/>
        </w:rPr>
        <w:t xml:space="preserve"> </w:t>
      </w:r>
    </w:p>
    <w:p w14:paraId="33737BA0" w14:textId="0E276442" w:rsidR="32F1AED3" w:rsidRDefault="32F1AED3" w:rsidP="2A259567">
      <w:pPr>
        <w:spacing w:after="0"/>
      </w:pPr>
      <w:r w:rsidRPr="2A259567">
        <w:rPr>
          <w:rFonts w:ascii="Calibri" w:eastAsia="Calibri" w:hAnsi="Calibri" w:cs="Calibri"/>
        </w:rPr>
        <w:t xml:space="preserve">De selectie gebeurtenissen op basis van ESG-integratie, waarbij ook sociale en </w:t>
      </w:r>
      <w:proofErr w:type="spellStart"/>
      <w:r w:rsidRPr="2A259567">
        <w:rPr>
          <w:rFonts w:ascii="Calibri" w:eastAsia="Calibri" w:hAnsi="Calibri" w:cs="Calibri"/>
        </w:rPr>
        <w:t>governance</w:t>
      </w:r>
      <w:proofErr w:type="spellEnd"/>
      <w:r w:rsidRPr="2A259567">
        <w:rPr>
          <w:rFonts w:ascii="Calibri" w:eastAsia="Calibri" w:hAnsi="Calibri" w:cs="Calibri"/>
        </w:rPr>
        <w:t>-criteria meewegen. Daarnaast focust het fonds op themabeleggingen op het bijdragen aan duurzaamheid en heeft het een actief stem- en engagementbeleid om invloed uit te oefenen op bedrijven en zo duurzaam krachtig te stimuleren. Hiermee zorgt het fonds ervoor dat de investeringen niet alleen winstgevend zijn, maar ook maatschappelijk verantwoord.</w:t>
      </w:r>
    </w:p>
    <w:p w14:paraId="05F4C60A" w14:textId="38F48A59" w:rsidR="32F1AED3" w:rsidRDefault="32F1AED3" w:rsidP="2A259567">
      <w:pPr>
        <w:spacing w:after="0"/>
      </w:pPr>
      <w:r w:rsidRPr="2A259567">
        <w:rPr>
          <w:rFonts w:ascii="Calibri" w:eastAsia="Calibri" w:hAnsi="Calibri" w:cs="Calibri"/>
        </w:rPr>
        <w:t xml:space="preserve"> </w:t>
      </w:r>
    </w:p>
    <w:p w14:paraId="619E4978" w14:textId="5DD1037F" w:rsidR="32F1AED3" w:rsidRDefault="32F1AED3" w:rsidP="2A259567">
      <w:pPr>
        <w:spacing w:after="0"/>
      </w:pPr>
      <w:r w:rsidRPr="2A259567">
        <w:rPr>
          <w:rFonts w:ascii="Calibri" w:eastAsia="Calibri" w:hAnsi="Calibri" w:cs="Calibri"/>
        </w:rPr>
        <w:t>Allianz volgt de ICMA-principes en sluit vaste componenten uit, maar de onderliggende grenzen zijn iets minder sterk dan bij Robeco en ASN. Het fonds heeft een richt zich op groene obligaties met een positief milieueffect, maar wat meer ruimte binnen haar selectie.</w:t>
      </w:r>
    </w:p>
    <w:p w14:paraId="7C8183FC" w14:textId="47DC52DF" w:rsidR="32F1AED3" w:rsidRDefault="32F1AED3" w:rsidP="2A259567">
      <w:pPr>
        <w:spacing w:after="0"/>
      </w:pPr>
      <w:r w:rsidRPr="2A259567">
        <w:rPr>
          <w:rFonts w:ascii="Calibri" w:eastAsia="Calibri" w:hAnsi="Calibri" w:cs="Calibri"/>
        </w:rPr>
        <w:t xml:space="preserve"> </w:t>
      </w:r>
    </w:p>
    <w:p w14:paraId="1B657AA8" w14:textId="151D298D" w:rsidR="32F1AED3" w:rsidRDefault="32F1AED3" w:rsidP="2A259567">
      <w:pPr>
        <w:spacing w:after="0"/>
      </w:pPr>
      <w:r w:rsidRPr="2A259567">
        <w:rPr>
          <w:rFonts w:ascii="Calibri" w:eastAsia="Calibri" w:hAnsi="Calibri" w:cs="Calibri"/>
          <w:b/>
          <w:bCs/>
        </w:rPr>
        <w:t xml:space="preserve">Allianz </w:t>
      </w:r>
      <w:proofErr w:type="spellStart"/>
      <w:r w:rsidRPr="2A259567">
        <w:rPr>
          <w:rFonts w:ascii="Calibri" w:eastAsia="Calibri" w:hAnsi="Calibri" w:cs="Calibri"/>
          <w:b/>
          <w:bCs/>
        </w:rPr>
        <w:t>climate</w:t>
      </w:r>
      <w:proofErr w:type="spellEnd"/>
      <w:r w:rsidRPr="2A259567">
        <w:rPr>
          <w:rFonts w:ascii="Calibri" w:eastAsia="Calibri" w:hAnsi="Calibri" w:cs="Calibri"/>
          <w:b/>
          <w:bCs/>
        </w:rPr>
        <w:t xml:space="preserve"> </w:t>
      </w:r>
      <w:proofErr w:type="spellStart"/>
      <w:r w:rsidRPr="2A259567">
        <w:rPr>
          <w:rFonts w:ascii="Calibri" w:eastAsia="Calibri" w:hAnsi="Calibri" w:cs="Calibri"/>
          <w:b/>
          <w:bCs/>
        </w:rPr>
        <w:t>transition</w:t>
      </w:r>
      <w:proofErr w:type="spellEnd"/>
    </w:p>
    <w:p w14:paraId="334C5F57" w14:textId="5CC5D160" w:rsidR="32F1AED3" w:rsidRDefault="32F1AED3" w:rsidP="2A259567">
      <w:pPr>
        <w:spacing w:after="0"/>
      </w:pPr>
      <w:r w:rsidRPr="2A259567">
        <w:rPr>
          <w:rFonts w:ascii="Calibri" w:eastAsia="Calibri" w:hAnsi="Calibri" w:cs="Calibri"/>
        </w:rPr>
        <w:t xml:space="preserve">Het Allianz </w:t>
      </w:r>
      <w:proofErr w:type="spellStart"/>
      <w:r w:rsidRPr="2A259567">
        <w:rPr>
          <w:rFonts w:ascii="Calibri" w:eastAsia="Calibri" w:hAnsi="Calibri" w:cs="Calibri"/>
        </w:rPr>
        <w:t>Climate</w:t>
      </w:r>
      <w:proofErr w:type="spellEnd"/>
      <w:r w:rsidRPr="2A259567">
        <w:rPr>
          <w:rFonts w:ascii="Calibri" w:eastAsia="Calibri" w:hAnsi="Calibri" w:cs="Calibri"/>
        </w:rPr>
        <w:t xml:space="preserve"> </w:t>
      </w:r>
      <w:proofErr w:type="spellStart"/>
      <w:r w:rsidRPr="2A259567">
        <w:rPr>
          <w:rFonts w:ascii="Calibri" w:eastAsia="Calibri" w:hAnsi="Calibri" w:cs="Calibri"/>
        </w:rPr>
        <w:t>Transition</w:t>
      </w:r>
      <w:proofErr w:type="spellEnd"/>
      <w:r w:rsidRPr="2A259567">
        <w:rPr>
          <w:rFonts w:ascii="Calibri" w:eastAsia="Calibri" w:hAnsi="Calibri" w:cs="Calibri"/>
        </w:rPr>
        <w:t xml:space="preserve"> fonds richt zich op het investeren in Europese bedrijven die een actieve bijdrage leveren aan de overgang naar een koolstofarme economie. Het fonds onderzoekt bedrijven op basis van milieufactoren, sociale impact en </w:t>
      </w:r>
      <w:proofErr w:type="spellStart"/>
      <w:r w:rsidRPr="2A259567">
        <w:rPr>
          <w:rFonts w:ascii="Calibri" w:eastAsia="Calibri" w:hAnsi="Calibri" w:cs="Calibri"/>
        </w:rPr>
        <w:t>governance</w:t>
      </w:r>
      <w:proofErr w:type="spellEnd"/>
      <w:r w:rsidRPr="2A259567">
        <w:rPr>
          <w:rFonts w:ascii="Calibri" w:eastAsia="Calibri" w:hAnsi="Calibri" w:cs="Calibri"/>
        </w:rPr>
        <w:t>, en hanteert strenge duurzaamheidscriteria. Er wordt vooral ingezet op bedrijven met duidelijke plannen om hun CO2-uitstoot te verminderen of de innovatieve klimaatoplossingen te bieden. Het fonds sluit bedrijven uit die niet voldoen aan deze klimaat- en ESG-voorwaarden. Door voortdurend te monitoren en aan te passen zorgt het fonds ervoor dat het geld duurzaam in duurzame en verantwoordelijke ondernemingen blijft.</w:t>
      </w:r>
    </w:p>
    <w:p w14:paraId="1C686C5B" w14:textId="463BF38B" w:rsidR="32F1AED3" w:rsidRDefault="32F1AED3" w:rsidP="2A259567">
      <w:pPr>
        <w:spacing w:after="0"/>
      </w:pPr>
      <w:r w:rsidRPr="2A259567">
        <w:rPr>
          <w:rFonts w:ascii="Calibri" w:eastAsia="Calibri" w:hAnsi="Calibri" w:cs="Calibri"/>
        </w:rPr>
        <w:t xml:space="preserve"> </w:t>
      </w:r>
    </w:p>
    <w:p w14:paraId="6816F402" w14:textId="5E24B002" w:rsidR="32F1AED3" w:rsidRDefault="32F1AED3" w:rsidP="2A259567">
      <w:pPr>
        <w:spacing w:after="0"/>
      </w:pPr>
      <w:r w:rsidRPr="2A259567">
        <w:rPr>
          <w:rFonts w:ascii="Calibri" w:eastAsia="Calibri" w:hAnsi="Calibri" w:cs="Calibri"/>
        </w:rPr>
        <w:t xml:space="preserve">Het Allianz </w:t>
      </w:r>
      <w:proofErr w:type="spellStart"/>
      <w:r w:rsidRPr="2A259567">
        <w:rPr>
          <w:rFonts w:ascii="Calibri" w:eastAsia="Calibri" w:hAnsi="Calibri" w:cs="Calibri"/>
        </w:rPr>
        <w:t>Climate</w:t>
      </w:r>
      <w:proofErr w:type="spellEnd"/>
      <w:r w:rsidRPr="2A259567">
        <w:rPr>
          <w:rFonts w:ascii="Calibri" w:eastAsia="Calibri" w:hAnsi="Calibri" w:cs="Calibri"/>
        </w:rPr>
        <w:t xml:space="preserve"> </w:t>
      </w:r>
      <w:proofErr w:type="spellStart"/>
      <w:r w:rsidRPr="2A259567">
        <w:rPr>
          <w:rFonts w:ascii="Calibri" w:eastAsia="Calibri" w:hAnsi="Calibri" w:cs="Calibri"/>
        </w:rPr>
        <w:t>Transition</w:t>
      </w:r>
      <w:proofErr w:type="spellEnd"/>
      <w:r w:rsidRPr="2A259567">
        <w:rPr>
          <w:rFonts w:ascii="Calibri" w:eastAsia="Calibri" w:hAnsi="Calibri" w:cs="Calibri"/>
        </w:rPr>
        <w:t xml:space="preserve"> fonds kiest bedrijven die actief werken aan het verminderen van hun CO2-uitstoot en de overgang naar een duurzame economie. Ze sluiten investeringen uit in bedrijven die niet voldoen aan hun klimaateisen, zoals fossiele brandstofbedrijven zonder transitieplan. Het fonds gebruikte een best-in-class aanpak en ESG-criteria om de meest duurzame bedrijven binnen elke sector te selecteren. Ook is onderzocht dat ze op impactbeleggingen echt bijdragen aan klimaatverbeteringen. Daarnaast heeft het fonds een actief stem- en engagementbeleid om bedrijven te stimuleren beter te worden op gebied van duurzaamheid en verantwoord ondernemen.</w:t>
      </w:r>
    </w:p>
    <w:p w14:paraId="59E07B1E" w14:textId="2DF286C2" w:rsidR="32F1AED3" w:rsidRDefault="32F1AED3" w:rsidP="2A259567">
      <w:pPr>
        <w:spacing w:after="0"/>
      </w:pPr>
      <w:r w:rsidRPr="2A259567">
        <w:rPr>
          <w:rFonts w:ascii="Calibri" w:eastAsia="Calibri" w:hAnsi="Calibri" w:cs="Calibri"/>
        </w:rPr>
        <w:t xml:space="preserve"> </w:t>
      </w:r>
    </w:p>
    <w:p w14:paraId="4BFA89CF" w14:textId="1E50E89C" w:rsidR="32F1AED3" w:rsidRDefault="32F1AED3" w:rsidP="2A259567">
      <w:pPr>
        <w:spacing w:after="0"/>
      </w:pPr>
      <w:r w:rsidRPr="2A259567">
        <w:rPr>
          <w:rFonts w:ascii="Calibri" w:eastAsia="Calibri" w:hAnsi="Calibri" w:cs="Calibri"/>
        </w:rPr>
        <w:t xml:space="preserve">Allianz </w:t>
      </w:r>
      <w:proofErr w:type="spellStart"/>
      <w:r w:rsidRPr="2A259567">
        <w:rPr>
          <w:rFonts w:ascii="Calibri" w:eastAsia="Calibri" w:hAnsi="Calibri" w:cs="Calibri"/>
        </w:rPr>
        <w:t>Climate</w:t>
      </w:r>
      <w:proofErr w:type="spellEnd"/>
      <w:r w:rsidRPr="2A259567">
        <w:rPr>
          <w:rFonts w:ascii="Calibri" w:eastAsia="Calibri" w:hAnsi="Calibri" w:cs="Calibri"/>
        </w:rPr>
        <w:t xml:space="preserve"> </w:t>
      </w:r>
      <w:proofErr w:type="spellStart"/>
      <w:r w:rsidRPr="2A259567">
        <w:rPr>
          <w:rFonts w:ascii="Calibri" w:eastAsia="Calibri" w:hAnsi="Calibri" w:cs="Calibri"/>
        </w:rPr>
        <w:t>Transition</w:t>
      </w:r>
      <w:proofErr w:type="spellEnd"/>
      <w:r w:rsidRPr="2A259567">
        <w:rPr>
          <w:rFonts w:ascii="Calibri" w:eastAsia="Calibri" w:hAnsi="Calibri" w:cs="Calibri"/>
        </w:rPr>
        <w:t xml:space="preserve"> richt zich op bedrijven met duidelijke klimaattransitieplannen en hanteert een minimum van 66% van het fondsvermogen in duurzame investeringen. Ze sluiten bedrijven uit die geen transitieplan hebben, maar de criteria zijn flexibeler dan bij Robeco en ASN, met een focus op actieve transitie in plaats van strikte uitsluitingen.</w:t>
      </w:r>
    </w:p>
    <w:p w14:paraId="06DC7393" w14:textId="704EC292" w:rsidR="32F1AED3" w:rsidRDefault="32F1AED3" w:rsidP="2A259567">
      <w:pPr>
        <w:spacing w:after="0"/>
      </w:pPr>
      <w:r w:rsidRPr="2A259567">
        <w:rPr>
          <w:rFonts w:ascii="Calibri" w:eastAsia="Calibri" w:hAnsi="Calibri" w:cs="Calibri"/>
        </w:rPr>
        <w:t xml:space="preserve"> </w:t>
      </w:r>
    </w:p>
    <w:tbl>
      <w:tblPr>
        <w:tblStyle w:val="PlainTable3"/>
        <w:tblW w:w="0" w:type="auto"/>
        <w:tblLook w:val="04A0" w:firstRow="1" w:lastRow="0" w:firstColumn="1" w:lastColumn="0" w:noHBand="0" w:noVBand="1"/>
      </w:tblPr>
      <w:tblGrid>
        <w:gridCol w:w="2372"/>
        <w:gridCol w:w="2072"/>
        <w:gridCol w:w="1531"/>
        <w:gridCol w:w="1505"/>
        <w:gridCol w:w="1546"/>
      </w:tblGrid>
      <w:tr w:rsidR="2A259567" w14:paraId="2D8C0935" w14:textId="77777777" w:rsidTr="2A25956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442" w:type="dxa"/>
            <w:tcBorders>
              <w:top w:val="nil"/>
              <w:left w:val="nil"/>
              <w:bottom w:val="single" w:sz="8" w:space="0" w:color="7F7F7F" w:themeColor="text1" w:themeTint="80"/>
            </w:tcBorders>
            <w:tcMar>
              <w:left w:w="108" w:type="dxa"/>
              <w:right w:w="108" w:type="dxa"/>
            </w:tcMar>
          </w:tcPr>
          <w:p w14:paraId="4823736B" w14:textId="5FCB8F8E" w:rsidR="2A259567" w:rsidRDefault="2A259567" w:rsidP="2A259567">
            <w:r w:rsidRPr="2A259567">
              <w:rPr>
                <w:rFonts w:ascii="Calibri" w:eastAsia="Calibri" w:hAnsi="Calibri" w:cs="Calibri"/>
                <w:sz w:val="22"/>
                <w:szCs w:val="22"/>
              </w:rPr>
              <w:t>Aspect</w:t>
            </w:r>
          </w:p>
        </w:tc>
        <w:tc>
          <w:tcPr>
            <w:tcW w:w="2071" w:type="dxa"/>
            <w:tcBorders>
              <w:top w:val="nil"/>
              <w:left w:val="nil"/>
              <w:bottom w:val="single" w:sz="8" w:space="0" w:color="7F7F7F" w:themeColor="text1" w:themeTint="80"/>
              <w:right w:val="nil"/>
            </w:tcBorders>
            <w:tcMar>
              <w:left w:w="108" w:type="dxa"/>
              <w:right w:w="108" w:type="dxa"/>
            </w:tcMar>
          </w:tcPr>
          <w:p w14:paraId="5A1E8F6F" w14:textId="462F1D36"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Robeco Green Bonds</w:t>
            </w:r>
          </w:p>
        </w:tc>
        <w:tc>
          <w:tcPr>
            <w:tcW w:w="1489" w:type="dxa"/>
            <w:tcBorders>
              <w:top w:val="nil"/>
              <w:left w:val="nil"/>
              <w:bottom w:val="single" w:sz="8" w:space="0" w:color="7F7F7F" w:themeColor="text1" w:themeTint="80"/>
              <w:right w:val="nil"/>
            </w:tcBorders>
            <w:tcMar>
              <w:left w:w="108" w:type="dxa"/>
              <w:right w:w="108" w:type="dxa"/>
            </w:tcMar>
          </w:tcPr>
          <w:p w14:paraId="32E6D6DD" w14:textId="7F38A5EE"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ASN Energie &amp; Innovatiefonds</w:t>
            </w:r>
          </w:p>
        </w:tc>
        <w:tc>
          <w:tcPr>
            <w:tcW w:w="1505" w:type="dxa"/>
            <w:tcBorders>
              <w:top w:val="nil"/>
              <w:left w:val="nil"/>
              <w:bottom w:val="single" w:sz="8" w:space="0" w:color="7F7F7F" w:themeColor="text1" w:themeTint="80"/>
              <w:right w:val="nil"/>
            </w:tcBorders>
            <w:tcMar>
              <w:left w:w="108" w:type="dxa"/>
              <w:right w:w="108" w:type="dxa"/>
            </w:tcMar>
          </w:tcPr>
          <w:p w14:paraId="5759CACB" w14:textId="639FCCF6"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Allianz Green Bond</w:t>
            </w:r>
          </w:p>
        </w:tc>
        <w:tc>
          <w:tcPr>
            <w:tcW w:w="1509" w:type="dxa"/>
            <w:tcBorders>
              <w:top w:val="nil"/>
              <w:left w:val="nil"/>
              <w:bottom w:val="single" w:sz="8" w:space="0" w:color="7F7F7F" w:themeColor="text1" w:themeTint="80"/>
              <w:right w:val="nil"/>
            </w:tcBorders>
            <w:tcMar>
              <w:left w:w="108" w:type="dxa"/>
              <w:right w:w="108" w:type="dxa"/>
            </w:tcMar>
          </w:tcPr>
          <w:p w14:paraId="03193236" w14:textId="00390961"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Allianz Climate Transition</w:t>
            </w:r>
          </w:p>
        </w:tc>
      </w:tr>
      <w:tr w:rsidR="2A259567" w14:paraId="20C5B8FA"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2" w:type="dxa"/>
            <w:tcBorders>
              <w:top w:val="single" w:sz="8" w:space="0" w:color="7F7F7F" w:themeColor="text1" w:themeTint="80"/>
              <w:left w:val="nil"/>
              <w:bottom w:val="nil"/>
              <w:right w:val="single" w:sz="8" w:space="0" w:color="7F7F7F" w:themeColor="text1" w:themeTint="80"/>
            </w:tcBorders>
            <w:tcMar>
              <w:left w:w="108" w:type="dxa"/>
              <w:right w:w="108" w:type="dxa"/>
            </w:tcMar>
          </w:tcPr>
          <w:p w14:paraId="15460941" w14:textId="5BBFE359" w:rsidR="2A259567" w:rsidRDefault="2A259567" w:rsidP="2A259567">
            <w:r w:rsidRPr="2A259567">
              <w:rPr>
                <w:rFonts w:ascii="Calibri" w:eastAsia="Calibri" w:hAnsi="Calibri" w:cs="Calibri"/>
                <w:color w:val="000000" w:themeColor="text1"/>
                <w:sz w:val="22"/>
                <w:szCs w:val="22"/>
              </w:rPr>
              <w:t>Beleggingsbeleid</w:t>
            </w:r>
          </w:p>
        </w:tc>
        <w:tc>
          <w:tcPr>
            <w:tcW w:w="2071" w:type="dxa"/>
            <w:tcMar>
              <w:left w:w="108" w:type="dxa"/>
              <w:right w:w="108" w:type="dxa"/>
            </w:tcMar>
          </w:tcPr>
          <w:p w14:paraId="6F6B7193" w14:textId="4756C22A"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Groene, sociale en duurzame obligaties met minimaal 90% van fondsvermogen duurzaam</w:t>
            </w:r>
          </w:p>
        </w:tc>
        <w:tc>
          <w:tcPr>
            <w:tcW w:w="1489" w:type="dxa"/>
            <w:tcMar>
              <w:left w:w="108" w:type="dxa"/>
              <w:right w:w="108" w:type="dxa"/>
            </w:tcMar>
          </w:tcPr>
          <w:p w14:paraId="65280FF2" w14:textId="4A974D29"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Duurzame energie, opslag, circulaire productie, mobiliteit, energie-efficiëntie in NL</w:t>
            </w:r>
          </w:p>
        </w:tc>
        <w:tc>
          <w:tcPr>
            <w:tcW w:w="1505" w:type="dxa"/>
            <w:tcMar>
              <w:left w:w="108" w:type="dxa"/>
              <w:right w:w="108" w:type="dxa"/>
            </w:tcMar>
          </w:tcPr>
          <w:p w14:paraId="5421C6A8" w14:textId="595DF76D"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Groene obligaties die milieu en sociaal verantwoorde projecten financieren</w:t>
            </w:r>
          </w:p>
        </w:tc>
        <w:tc>
          <w:tcPr>
            <w:tcW w:w="1509" w:type="dxa"/>
            <w:tcMar>
              <w:left w:w="108" w:type="dxa"/>
              <w:right w:w="108" w:type="dxa"/>
            </w:tcMar>
          </w:tcPr>
          <w:p w14:paraId="0785884A" w14:textId="4730C697"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Europese bedrijven met actieve CO2-reductie en klimaatoplossingen</w:t>
            </w:r>
          </w:p>
        </w:tc>
      </w:tr>
      <w:tr w:rsidR="2A259567" w14:paraId="35B9A672"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2442" w:type="dxa"/>
            <w:tcBorders>
              <w:top w:val="nil"/>
              <w:left w:val="nil"/>
              <w:bottom w:val="nil"/>
              <w:right w:val="single" w:sz="8" w:space="0" w:color="7F7F7F" w:themeColor="text1" w:themeTint="80"/>
            </w:tcBorders>
            <w:tcMar>
              <w:left w:w="108" w:type="dxa"/>
              <w:right w:w="108" w:type="dxa"/>
            </w:tcMar>
          </w:tcPr>
          <w:p w14:paraId="58CDDE93" w14:textId="7A32E329" w:rsidR="2A259567" w:rsidRDefault="2A259567" w:rsidP="2A259567">
            <w:r w:rsidRPr="2A259567">
              <w:rPr>
                <w:rFonts w:ascii="Calibri" w:eastAsia="Calibri" w:hAnsi="Calibri" w:cs="Calibri"/>
                <w:sz w:val="22"/>
                <w:szCs w:val="22"/>
              </w:rPr>
              <w:t>Uitsluitingen</w:t>
            </w:r>
          </w:p>
        </w:tc>
        <w:tc>
          <w:tcPr>
            <w:tcW w:w="2071" w:type="dxa"/>
            <w:tcMar>
              <w:left w:w="108" w:type="dxa"/>
              <w:right w:w="108" w:type="dxa"/>
            </w:tcMar>
          </w:tcPr>
          <w:p w14:paraId="28690637" w14:textId="2ABC4E44"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 xml:space="preserve">Strenge uitsluitingen zoals fossiele brandstoffen, volgens Green Bond </w:t>
            </w:r>
            <w:proofErr w:type="spellStart"/>
            <w:r w:rsidRPr="2A259567">
              <w:rPr>
                <w:rFonts w:ascii="Calibri" w:eastAsia="Calibri" w:hAnsi="Calibri" w:cs="Calibri"/>
                <w:sz w:val="22"/>
                <w:szCs w:val="22"/>
              </w:rPr>
              <w:t>Principles</w:t>
            </w:r>
            <w:proofErr w:type="spellEnd"/>
          </w:p>
        </w:tc>
        <w:tc>
          <w:tcPr>
            <w:tcW w:w="1489" w:type="dxa"/>
            <w:tcMar>
              <w:left w:w="108" w:type="dxa"/>
              <w:right w:w="108" w:type="dxa"/>
            </w:tcMar>
          </w:tcPr>
          <w:p w14:paraId="19A4FAB2" w14:textId="56D94A32"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Strikte uitsluiting fossiele brandstoffen, alleen duurzame projecten binnen Nederland</w:t>
            </w:r>
          </w:p>
        </w:tc>
        <w:tc>
          <w:tcPr>
            <w:tcW w:w="1505" w:type="dxa"/>
            <w:tcMar>
              <w:left w:w="108" w:type="dxa"/>
              <w:right w:w="108" w:type="dxa"/>
            </w:tcMar>
          </w:tcPr>
          <w:p w14:paraId="507D5F1F" w14:textId="58D38002"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Uitsluitend sectoren als fossiele brandstof uitgesloten; iets minder streng dan Robeco/ASN</w:t>
            </w:r>
          </w:p>
        </w:tc>
        <w:tc>
          <w:tcPr>
            <w:tcW w:w="1509" w:type="dxa"/>
            <w:tcMar>
              <w:left w:w="108" w:type="dxa"/>
              <w:right w:w="108" w:type="dxa"/>
            </w:tcMar>
          </w:tcPr>
          <w:p w14:paraId="4C8DFD2B" w14:textId="2C42620D"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Uitsluiting van fossiele brandstofbedrijven zonder transitieplan; flexibeler</w:t>
            </w:r>
          </w:p>
        </w:tc>
      </w:tr>
      <w:tr w:rsidR="2A259567" w14:paraId="2DF76271"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2" w:type="dxa"/>
            <w:tcBorders>
              <w:top w:val="nil"/>
              <w:left w:val="nil"/>
              <w:bottom w:val="nil"/>
              <w:right w:val="single" w:sz="8" w:space="0" w:color="7F7F7F" w:themeColor="text1" w:themeTint="80"/>
            </w:tcBorders>
            <w:tcMar>
              <w:left w:w="108" w:type="dxa"/>
              <w:right w:w="108" w:type="dxa"/>
            </w:tcMar>
          </w:tcPr>
          <w:p w14:paraId="753D42D7" w14:textId="404CCDD9" w:rsidR="2A259567" w:rsidRDefault="2A259567" w:rsidP="2A259567">
            <w:r w:rsidRPr="2A259567">
              <w:rPr>
                <w:rFonts w:ascii="Calibri" w:eastAsia="Calibri" w:hAnsi="Calibri" w:cs="Calibri"/>
                <w:color w:val="000000" w:themeColor="text1"/>
                <w:sz w:val="22"/>
                <w:szCs w:val="22"/>
              </w:rPr>
              <w:t>ESG-integratie</w:t>
            </w:r>
          </w:p>
        </w:tc>
        <w:tc>
          <w:tcPr>
            <w:tcW w:w="2071" w:type="dxa"/>
            <w:tcMar>
              <w:left w:w="108" w:type="dxa"/>
              <w:right w:w="108" w:type="dxa"/>
            </w:tcMar>
          </w:tcPr>
          <w:p w14:paraId="7354BC6B" w14:textId="1CB17CCD"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 xml:space="preserve">Volledig geïntegreerd op milieu, sociaal en </w:t>
            </w:r>
            <w:proofErr w:type="spellStart"/>
            <w:r w:rsidRPr="2A259567">
              <w:rPr>
                <w:rFonts w:ascii="Calibri" w:eastAsia="Calibri" w:hAnsi="Calibri" w:cs="Calibri"/>
                <w:color w:val="000000" w:themeColor="text1"/>
                <w:sz w:val="22"/>
                <w:szCs w:val="22"/>
              </w:rPr>
              <w:t>governance</w:t>
            </w:r>
            <w:proofErr w:type="spellEnd"/>
            <w:r w:rsidRPr="2A259567">
              <w:rPr>
                <w:rFonts w:ascii="Calibri" w:eastAsia="Calibri" w:hAnsi="Calibri" w:cs="Calibri"/>
                <w:color w:val="000000" w:themeColor="text1"/>
                <w:sz w:val="22"/>
                <w:szCs w:val="22"/>
              </w:rPr>
              <w:t>; focus op CO2 reductie</w:t>
            </w:r>
          </w:p>
        </w:tc>
        <w:tc>
          <w:tcPr>
            <w:tcW w:w="1489" w:type="dxa"/>
            <w:tcMar>
              <w:left w:w="108" w:type="dxa"/>
              <w:right w:w="108" w:type="dxa"/>
            </w:tcMar>
          </w:tcPr>
          <w:p w14:paraId="58E6499C" w14:textId="5811899B"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 xml:space="preserve">Strenge ESG-richtlijnen, hoge lat aan milieu, maatschappij en </w:t>
            </w:r>
            <w:proofErr w:type="spellStart"/>
            <w:r w:rsidRPr="2A259567">
              <w:rPr>
                <w:rFonts w:ascii="Calibri" w:eastAsia="Calibri" w:hAnsi="Calibri" w:cs="Calibri"/>
                <w:color w:val="000000" w:themeColor="text1"/>
                <w:sz w:val="22"/>
                <w:szCs w:val="22"/>
              </w:rPr>
              <w:t>governance</w:t>
            </w:r>
            <w:proofErr w:type="spellEnd"/>
          </w:p>
        </w:tc>
        <w:tc>
          <w:tcPr>
            <w:tcW w:w="1505" w:type="dxa"/>
            <w:tcMar>
              <w:left w:w="108" w:type="dxa"/>
              <w:right w:w="108" w:type="dxa"/>
            </w:tcMar>
          </w:tcPr>
          <w:p w14:paraId="498DFD88" w14:textId="02078C47"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 xml:space="preserve">ESG-criteria als onderdeel van de analyse, sociale impact en </w:t>
            </w:r>
            <w:proofErr w:type="spellStart"/>
            <w:r w:rsidRPr="2A259567">
              <w:rPr>
                <w:rFonts w:ascii="Calibri" w:eastAsia="Calibri" w:hAnsi="Calibri" w:cs="Calibri"/>
                <w:color w:val="000000" w:themeColor="text1"/>
                <w:sz w:val="22"/>
                <w:szCs w:val="22"/>
              </w:rPr>
              <w:t>governance</w:t>
            </w:r>
            <w:proofErr w:type="spellEnd"/>
            <w:r w:rsidRPr="2A259567">
              <w:rPr>
                <w:rFonts w:ascii="Calibri" w:eastAsia="Calibri" w:hAnsi="Calibri" w:cs="Calibri"/>
                <w:color w:val="000000" w:themeColor="text1"/>
                <w:sz w:val="22"/>
                <w:szCs w:val="22"/>
              </w:rPr>
              <w:t xml:space="preserve"> meegewogen</w:t>
            </w:r>
          </w:p>
        </w:tc>
        <w:tc>
          <w:tcPr>
            <w:tcW w:w="1509" w:type="dxa"/>
            <w:tcMar>
              <w:left w:w="108" w:type="dxa"/>
              <w:right w:w="108" w:type="dxa"/>
            </w:tcMar>
          </w:tcPr>
          <w:p w14:paraId="2EC61113" w14:textId="501DAAF4"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 xml:space="preserve">ESG-criteria in selectieproces, met focus op milieu, sociaal en </w:t>
            </w:r>
            <w:proofErr w:type="spellStart"/>
            <w:r w:rsidRPr="2A259567">
              <w:rPr>
                <w:rFonts w:ascii="Calibri" w:eastAsia="Calibri" w:hAnsi="Calibri" w:cs="Calibri"/>
                <w:color w:val="000000" w:themeColor="text1"/>
                <w:sz w:val="22"/>
                <w:szCs w:val="22"/>
              </w:rPr>
              <w:t>governance</w:t>
            </w:r>
            <w:proofErr w:type="spellEnd"/>
          </w:p>
        </w:tc>
      </w:tr>
      <w:tr w:rsidR="2A259567" w14:paraId="19BCE804"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2442" w:type="dxa"/>
            <w:tcBorders>
              <w:top w:val="nil"/>
              <w:left w:val="nil"/>
              <w:bottom w:val="nil"/>
              <w:right w:val="single" w:sz="8" w:space="0" w:color="7F7F7F" w:themeColor="text1" w:themeTint="80"/>
            </w:tcBorders>
            <w:tcMar>
              <w:left w:w="108" w:type="dxa"/>
              <w:right w:w="108" w:type="dxa"/>
            </w:tcMar>
          </w:tcPr>
          <w:p w14:paraId="0FB21F23" w14:textId="048DFE7E" w:rsidR="2A259567" w:rsidRDefault="2A259567" w:rsidP="2A259567">
            <w:r w:rsidRPr="2A259567">
              <w:rPr>
                <w:rFonts w:ascii="Calibri" w:eastAsia="Calibri" w:hAnsi="Calibri" w:cs="Calibri"/>
                <w:sz w:val="22"/>
                <w:szCs w:val="22"/>
              </w:rPr>
              <w:t>Themabeleggingen/impact</w:t>
            </w:r>
          </w:p>
        </w:tc>
        <w:tc>
          <w:tcPr>
            <w:tcW w:w="2071" w:type="dxa"/>
            <w:tcMar>
              <w:left w:w="108" w:type="dxa"/>
              <w:right w:w="108" w:type="dxa"/>
            </w:tcMar>
          </w:tcPr>
          <w:p w14:paraId="4B48EBD8" w14:textId="084B505A"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 xml:space="preserve">Focus op internationale duurzaamheidstandaarden en impact, </w:t>
            </w:r>
            <w:proofErr w:type="spellStart"/>
            <w:r w:rsidRPr="2A259567">
              <w:rPr>
                <w:rFonts w:ascii="Calibri" w:eastAsia="Calibri" w:hAnsi="Calibri" w:cs="Calibri"/>
                <w:sz w:val="22"/>
                <w:szCs w:val="22"/>
              </w:rPr>
              <w:t>SDG’s</w:t>
            </w:r>
            <w:proofErr w:type="spellEnd"/>
          </w:p>
        </w:tc>
        <w:tc>
          <w:tcPr>
            <w:tcW w:w="1489" w:type="dxa"/>
            <w:tcMar>
              <w:left w:w="108" w:type="dxa"/>
              <w:right w:w="108" w:type="dxa"/>
            </w:tcMar>
          </w:tcPr>
          <w:p w14:paraId="488B27D5" w14:textId="30C75674"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Best-in-class methode, impactbeleggingen rond energietransitie</w:t>
            </w:r>
          </w:p>
        </w:tc>
        <w:tc>
          <w:tcPr>
            <w:tcW w:w="1505" w:type="dxa"/>
            <w:tcMar>
              <w:left w:w="108" w:type="dxa"/>
              <w:right w:w="108" w:type="dxa"/>
            </w:tcMar>
          </w:tcPr>
          <w:p w14:paraId="59EB317B" w14:textId="2D518054"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Focus op themabeleggingen die bijdragen aan duurzaamheid</w:t>
            </w:r>
          </w:p>
        </w:tc>
        <w:tc>
          <w:tcPr>
            <w:tcW w:w="1509" w:type="dxa"/>
            <w:tcMar>
              <w:left w:w="108" w:type="dxa"/>
              <w:right w:w="108" w:type="dxa"/>
            </w:tcMar>
          </w:tcPr>
          <w:p w14:paraId="678035EB" w14:textId="15E1E318"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Best-in-class en impactbeleggingen gericht op klimaatverbetering</w:t>
            </w:r>
          </w:p>
        </w:tc>
      </w:tr>
      <w:tr w:rsidR="2A259567" w14:paraId="05236F63"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2" w:type="dxa"/>
            <w:tcBorders>
              <w:top w:val="nil"/>
              <w:left w:val="nil"/>
              <w:bottom w:val="nil"/>
              <w:right w:val="single" w:sz="8" w:space="0" w:color="7F7F7F" w:themeColor="text1" w:themeTint="80"/>
            </w:tcBorders>
            <w:tcMar>
              <w:left w:w="108" w:type="dxa"/>
              <w:right w:w="108" w:type="dxa"/>
            </w:tcMar>
          </w:tcPr>
          <w:p w14:paraId="7C7A0066" w14:textId="51BFB18E" w:rsidR="2A259567" w:rsidRDefault="2A259567" w:rsidP="2A259567">
            <w:r w:rsidRPr="2A259567">
              <w:rPr>
                <w:rFonts w:ascii="Calibri" w:eastAsia="Calibri" w:hAnsi="Calibri" w:cs="Calibri"/>
                <w:color w:val="000000" w:themeColor="text1"/>
                <w:sz w:val="22"/>
                <w:szCs w:val="22"/>
              </w:rPr>
              <w:t>Stem- en engagementbeleid</w:t>
            </w:r>
          </w:p>
        </w:tc>
        <w:tc>
          <w:tcPr>
            <w:tcW w:w="2071" w:type="dxa"/>
            <w:tcMar>
              <w:left w:w="108" w:type="dxa"/>
              <w:right w:w="108" w:type="dxa"/>
            </w:tcMar>
          </w:tcPr>
          <w:p w14:paraId="56470E44" w14:textId="5C0D8A2E"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Actief stemgedrag en betrokkenheid om bedrijven te stimuleren duurzaam te blijven</w:t>
            </w:r>
          </w:p>
        </w:tc>
        <w:tc>
          <w:tcPr>
            <w:tcW w:w="1489" w:type="dxa"/>
            <w:tcMar>
              <w:left w:w="108" w:type="dxa"/>
              <w:right w:w="108" w:type="dxa"/>
            </w:tcMar>
          </w:tcPr>
          <w:p w14:paraId="4A64393D" w14:textId="4D7C80BD"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Actief engagement en stembeleid om bedrijven te verbeteren op ESG-gebied</w:t>
            </w:r>
          </w:p>
        </w:tc>
        <w:tc>
          <w:tcPr>
            <w:tcW w:w="1505" w:type="dxa"/>
            <w:tcMar>
              <w:left w:w="108" w:type="dxa"/>
              <w:right w:w="108" w:type="dxa"/>
            </w:tcMar>
          </w:tcPr>
          <w:p w14:paraId="643CE74F" w14:textId="708F0955"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Actief stem- en engagementbeleid om duurzame verbeteringen te stimuleren</w:t>
            </w:r>
          </w:p>
        </w:tc>
        <w:tc>
          <w:tcPr>
            <w:tcW w:w="1509" w:type="dxa"/>
            <w:tcMar>
              <w:left w:w="108" w:type="dxa"/>
              <w:right w:w="108" w:type="dxa"/>
            </w:tcMar>
          </w:tcPr>
          <w:p w14:paraId="751D10EB" w14:textId="550AFBCC"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 xml:space="preserve">Actief stem- en engagementbeleid om duurzame </w:t>
            </w:r>
            <w:proofErr w:type="spellStart"/>
            <w:r w:rsidRPr="2A259567">
              <w:rPr>
                <w:rFonts w:ascii="Calibri" w:eastAsia="Calibri" w:hAnsi="Calibri" w:cs="Calibri"/>
                <w:color w:val="000000" w:themeColor="text1"/>
                <w:sz w:val="22"/>
                <w:szCs w:val="22"/>
              </w:rPr>
              <w:t>governance</w:t>
            </w:r>
            <w:proofErr w:type="spellEnd"/>
            <w:r w:rsidRPr="2A259567">
              <w:rPr>
                <w:rFonts w:ascii="Calibri" w:eastAsia="Calibri" w:hAnsi="Calibri" w:cs="Calibri"/>
                <w:color w:val="000000" w:themeColor="text1"/>
                <w:sz w:val="22"/>
                <w:szCs w:val="22"/>
              </w:rPr>
              <w:t xml:space="preserve"> en prestaties te verbeteren</w:t>
            </w:r>
          </w:p>
        </w:tc>
      </w:tr>
      <w:tr w:rsidR="2A259567" w14:paraId="0417B032"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2442" w:type="dxa"/>
            <w:tcBorders>
              <w:top w:val="nil"/>
              <w:left w:val="nil"/>
              <w:bottom w:val="nil"/>
              <w:right w:val="single" w:sz="8" w:space="0" w:color="7F7F7F" w:themeColor="text1" w:themeTint="80"/>
            </w:tcBorders>
            <w:tcMar>
              <w:left w:w="108" w:type="dxa"/>
              <w:right w:w="108" w:type="dxa"/>
            </w:tcMar>
          </w:tcPr>
          <w:p w14:paraId="3EE6BAFB" w14:textId="0AC62A33" w:rsidR="2A259567" w:rsidRDefault="2A259567" w:rsidP="2A259567">
            <w:r w:rsidRPr="2A259567">
              <w:rPr>
                <w:rFonts w:ascii="Calibri" w:eastAsia="Calibri" w:hAnsi="Calibri" w:cs="Calibri"/>
                <w:sz w:val="22"/>
                <w:szCs w:val="22"/>
              </w:rPr>
              <w:t>Minimum duurzame belegging</w:t>
            </w:r>
          </w:p>
        </w:tc>
        <w:tc>
          <w:tcPr>
            <w:tcW w:w="2071" w:type="dxa"/>
            <w:tcMar>
              <w:left w:w="108" w:type="dxa"/>
              <w:right w:w="108" w:type="dxa"/>
            </w:tcMar>
          </w:tcPr>
          <w:p w14:paraId="68DEE399" w14:textId="2B363625"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Minimaal 90% duurzaam beleggen</w:t>
            </w:r>
          </w:p>
        </w:tc>
        <w:tc>
          <w:tcPr>
            <w:tcW w:w="1489" w:type="dxa"/>
            <w:tcMar>
              <w:left w:w="108" w:type="dxa"/>
              <w:right w:w="108" w:type="dxa"/>
            </w:tcMar>
          </w:tcPr>
          <w:p w14:paraId="2B045DDC" w14:textId="0B5AA9D7"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Strikte selectie van bewezen duurzame projecten</w:t>
            </w:r>
          </w:p>
        </w:tc>
        <w:tc>
          <w:tcPr>
            <w:tcW w:w="1505" w:type="dxa"/>
            <w:tcMar>
              <w:left w:w="108" w:type="dxa"/>
              <w:right w:w="108" w:type="dxa"/>
            </w:tcMar>
          </w:tcPr>
          <w:p w14:paraId="07891BCD" w14:textId="7113F65F"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Minder strikte ondergrens dan Robeco en ASN</w:t>
            </w:r>
          </w:p>
        </w:tc>
        <w:tc>
          <w:tcPr>
            <w:tcW w:w="1509" w:type="dxa"/>
            <w:tcMar>
              <w:left w:w="108" w:type="dxa"/>
              <w:right w:w="108" w:type="dxa"/>
            </w:tcMar>
          </w:tcPr>
          <w:p w14:paraId="5CA82B54" w14:textId="00491EC8"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Minimaal 66% van het fondsvermogen in duurzame beleggingen</w:t>
            </w:r>
          </w:p>
        </w:tc>
      </w:tr>
    </w:tbl>
    <w:p w14:paraId="17F2C193" w14:textId="2B71D400" w:rsidR="32F1AED3" w:rsidRDefault="32F1AED3" w:rsidP="2A259567">
      <w:pPr>
        <w:spacing w:after="0"/>
      </w:pPr>
      <w:r w:rsidRPr="2A259567">
        <w:rPr>
          <w:rFonts w:ascii="Calibri" w:eastAsia="Calibri" w:hAnsi="Calibri" w:cs="Calibri"/>
          <w:b/>
          <w:bCs/>
        </w:rPr>
        <w:t xml:space="preserve"> </w:t>
      </w:r>
    </w:p>
    <w:p w14:paraId="340FA77B" w14:textId="4F279DE5" w:rsidR="32F1AED3" w:rsidRDefault="21D74ABE" w:rsidP="6D5ED2DD">
      <w:pPr>
        <w:pStyle w:val="Heading2"/>
        <w:spacing w:before="40" w:after="0"/>
        <w:rPr>
          <w:rFonts w:ascii="Calibri Light" w:eastAsia="Calibri Light" w:hAnsi="Calibri Light" w:cs="Calibri Light"/>
          <w:color w:val="2F5496"/>
          <w:sz w:val="26"/>
          <w:szCs w:val="26"/>
        </w:rPr>
      </w:pPr>
      <w:bookmarkStart w:id="40" w:name="_Toc1795396617"/>
      <w:r w:rsidRPr="6D5ED2DD">
        <w:rPr>
          <w:rFonts w:ascii="Calibri Light" w:eastAsia="Calibri Light" w:hAnsi="Calibri Light" w:cs="Calibri Light"/>
          <w:color w:val="2F5496"/>
          <w:sz w:val="26"/>
          <w:szCs w:val="26"/>
        </w:rPr>
        <w:t>2.8 Beoordelingsschema</w:t>
      </w:r>
      <w:bookmarkEnd w:id="40"/>
    </w:p>
    <w:tbl>
      <w:tblPr>
        <w:tblStyle w:val="PlainTable3"/>
        <w:tblW w:w="0" w:type="auto"/>
        <w:tblLook w:val="04A0" w:firstRow="1" w:lastRow="0" w:firstColumn="1" w:lastColumn="0" w:noHBand="0" w:noVBand="1"/>
      </w:tblPr>
      <w:tblGrid>
        <w:gridCol w:w="1403"/>
        <w:gridCol w:w="1343"/>
        <w:gridCol w:w="993"/>
        <w:gridCol w:w="1237"/>
        <w:gridCol w:w="1631"/>
        <w:gridCol w:w="1022"/>
        <w:gridCol w:w="1397"/>
      </w:tblGrid>
      <w:tr w:rsidR="2A259567" w14:paraId="46A22A05" w14:textId="77777777" w:rsidTr="2A25956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473" w:type="dxa"/>
            <w:tcBorders>
              <w:top w:val="nil"/>
              <w:left w:val="nil"/>
              <w:bottom w:val="single" w:sz="8" w:space="0" w:color="7F7F7F" w:themeColor="text1" w:themeTint="80"/>
            </w:tcBorders>
            <w:tcMar>
              <w:left w:w="108" w:type="dxa"/>
              <w:right w:w="108" w:type="dxa"/>
            </w:tcMar>
          </w:tcPr>
          <w:p w14:paraId="7A07B10A" w14:textId="7AA99CA9" w:rsidR="2A259567" w:rsidRDefault="2A259567" w:rsidP="2A259567">
            <w:r w:rsidRPr="2A259567">
              <w:rPr>
                <w:rFonts w:ascii="Calibri" w:eastAsia="Calibri" w:hAnsi="Calibri" w:cs="Calibri"/>
                <w:sz w:val="22"/>
                <w:szCs w:val="22"/>
              </w:rPr>
              <w:t>Fonds</w:t>
            </w:r>
          </w:p>
        </w:tc>
        <w:tc>
          <w:tcPr>
            <w:tcW w:w="1022" w:type="dxa"/>
            <w:tcBorders>
              <w:top w:val="nil"/>
              <w:left w:val="nil"/>
              <w:bottom w:val="single" w:sz="8" w:space="0" w:color="7F7F7F" w:themeColor="text1" w:themeTint="80"/>
              <w:right w:val="nil"/>
            </w:tcBorders>
            <w:tcMar>
              <w:left w:w="108" w:type="dxa"/>
              <w:right w:w="108" w:type="dxa"/>
            </w:tcMar>
          </w:tcPr>
          <w:p w14:paraId="5ECF372E" w14:textId="056BA4B3"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Duurzaamheid (1-10)</w:t>
            </w:r>
          </w:p>
        </w:tc>
        <w:tc>
          <w:tcPr>
            <w:tcW w:w="984" w:type="dxa"/>
            <w:tcBorders>
              <w:top w:val="nil"/>
              <w:left w:val="nil"/>
              <w:bottom w:val="single" w:sz="8" w:space="0" w:color="7F7F7F" w:themeColor="text1" w:themeTint="80"/>
              <w:right w:val="nil"/>
            </w:tcBorders>
            <w:tcMar>
              <w:left w:w="108" w:type="dxa"/>
              <w:right w:w="108" w:type="dxa"/>
            </w:tcMar>
          </w:tcPr>
          <w:p w14:paraId="26E1906A" w14:textId="47A3A85F"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ESG-integratie (1-10)</w:t>
            </w:r>
          </w:p>
        </w:tc>
        <w:tc>
          <w:tcPr>
            <w:tcW w:w="1424" w:type="dxa"/>
            <w:tcBorders>
              <w:top w:val="nil"/>
              <w:left w:val="nil"/>
              <w:bottom w:val="single" w:sz="8" w:space="0" w:color="7F7F7F" w:themeColor="text1" w:themeTint="80"/>
              <w:right w:val="nil"/>
            </w:tcBorders>
            <w:tcMar>
              <w:left w:w="108" w:type="dxa"/>
              <w:right w:w="108" w:type="dxa"/>
            </w:tcMar>
          </w:tcPr>
          <w:p w14:paraId="22037F18" w14:textId="522F1CB3"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Striktheid uitsluitingen (1-10)</w:t>
            </w:r>
          </w:p>
        </w:tc>
        <w:tc>
          <w:tcPr>
            <w:tcW w:w="1650" w:type="dxa"/>
            <w:tcBorders>
              <w:top w:val="nil"/>
              <w:left w:val="nil"/>
              <w:bottom w:val="single" w:sz="8" w:space="0" w:color="7F7F7F" w:themeColor="text1" w:themeTint="80"/>
              <w:right w:val="nil"/>
            </w:tcBorders>
            <w:tcMar>
              <w:left w:w="108" w:type="dxa"/>
              <w:right w:w="108" w:type="dxa"/>
            </w:tcMar>
          </w:tcPr>
          <w:p w14:paraId="3F1A3CC1" w14:textId="74D0F57D"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Stem- en engagementbeleid (1-10)</w:t>
            </w:r>
          </w:p>
        </w:tc>
        <w:tc>
          <w:tcPr>
            <w:tcW w:w="1045" w:type="dxa"/>
            <w:tcBorders>
              <w:top w:val="nil"/>
              <w:left w:val="nil"/>
              <w:bottom w:val="single" w:sz="8" w:space="0" w:color="7F7F7F" w:themeColor="text1" w:themeTint="80"/>
              <w:right w:val="nil"/>
            </w:tcBorders>
            <w:tcMar>
              <w:left w:w="108" w:type="dxa"/>
              <w:right w:w="108" w:type="dxa"/>
            </w:tcMar>
          </w:tcPr>
          <w:p w14:paraId="348B626A" w14:textId="1B7030C6"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Minimum duurzaam (%)</w:t>
            </w:r>
          </w:p>
        </w:tc>
        <w:tc>
          <w:tcPr>
            <w:tcW w:w="1417" w:type="dxa"/>
            <w:tcBorders>
              <w:top w:val="nil"/>
              <w:left w:val="nil"/>
              <w:bottom w:val="single" w:sz="8" w:space="0" w:color="7F7F7F" w:themeColor="text1" w:themeTint="80"/>
              <w:right w:val="nil"/>
            </w:tcBorders>
            <w:tcMar>
              <w:left w:w="108" w:type="dxa"/>
              <w:right w:w="108" w:type="dxa"/>
            </w:tcMar>
          </w:tcPr>
          <w:p w14:paraId="2AA0BDB5" w14:textId="6686319B"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Gewogen score (20/25/25/20/10)</w:t>
            </w:r>
          </w:p>
        </w:tc>
      </w:tr>
      <w:tr w:rsidR="2A259567" w14:paraId="1C295A2C"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3" w:type="dxa"/>
            <w:tcBorders>
              <w:top w:val="single" w:sz="8" w:space="0" w:color="7F7F7F" w:themeColor="text1" w:themeTint="80"/>
              <w:left w:val="nil"/>
              <w:bottom w:val="nil"/>
              <w:right w:val="single" w:sz="8" w:space="0" w:color="7F7F7F" w:themeColor="text1" w:themeTint="80"/>
            </w:tcBorders>
            <w:tcMar>
              <w:left w:w="108" w:type="dxa"/>
              <w:right w:w="108" w:type="dxa"/>
            </w:tcMar>
          </w:tcPr>
          <w:p w14:paraId="7FB65CCE" w14:textId="1E9BE620" w:rsidR="2A259567" w:rsidRDefault="2A259567" w:rsidP="2A259567">
            <w:r w:rsidRPr="2A259567">
              <w:rPr>
                <w:rFonts w:ascii="Calibri" w:eastAsia="Calibri" w:hAnsi="Calibri" w:cs="Calibri"/>
                <w:color w:val="000000" w:themeColor="text1"/>
                <w:sz w:val="22"/>
                <w:szCs w:val="22"/>
              </w:rPr>
              <w:t>Robeco Green Bonds</w:t>
            </w:r>
          </w:p>
        </w:tc>
        <w:tc>
          <w:tcPr>
            <w:tcW w:w="1022" w:type="dxa"/>
            <w:tcMar>
              <w:left w:w="108" w:type="dxa"/>
              <w:right w:w="108" w:type="dxa"/>
            </w:tcMar>
          </w:tcPr>
          <w:p w14:paraId="4AB9BA88" w14:textId="5938AFFF"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9,5</w:t>
            </w:r>
          </w:p>
        </w:tc>
        <w:tc>
          <w:tcPr>
            <w:tcW w:w="984" w:type="dxa"/>
            <w:tcMar>
              <w:left w:w="108" w:type="dxa"/>
              <w:right w:w="108" w:type="dxa"/>
            </w:tcMar>
          </w:tcPr>
          <w:p w14:paraId="59C9EE6F" w14:textId="034B39C5"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9,0</w:t>
            </w:r>
          </w:p>
        </w:tc>
        <w:tc>
          <w:tcPr>
            <w:tcW w:w="1424" w:type="dxa"/>
            <w:tcMar>
              <w:left w:w="108" w:type="dxa"/>
              <w:right w:w="108" w:type="dxa"/>
            </w:tcMar>
          </w:tcPr>
          <w:p w14:paraId="3CF753BE" w14:textId="4C62A4D5"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9,5</w:t>
            </w:r>
          </w:p>
        </w:tc>
        <w:tc>
          <w:tcPr>
            <w:tcW w:w="1650" w:type="dxa"/>
            <w:tcMar>
              <w:left w:w="108" w:type="dxa"/>
              <w:right w:w="108" w:type="dxa"/>
            </w:tcMar>
          </w:tcPr>
          <w:p w14:paraId="0D1E0A54" w14:textId="17FC099E"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9,0</w:t>
            </w:r>
          </w:p>
        </w:tc>
        <w:tc>
          <w:tcPr>
            <w:tcW w:w="1045" w:type="dxa"/>
            <w:tcMar>
              <w:left w:w="108" w:type="dxa"/>
              <w:right w:w="108" w:type="dxa"/>
            </w:tcMar>
          </w:tcPr>
          <w:p w14:paraId="240DA967" w14:textId="18972E91"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90</w:t>
            </w:r>
          </w:p>
        </w:tc>
        <w:tc>
          <w:tcPr>
            <w:tcW w:w="1417" w:type="dxa"/>
            <w:tcMar>
              <w:left w:w="108" w:type="dxa"/>
              <w:right w:w="108" w:type="dxa"/>
            </w:tcMar>
          </w:tcPr>
          <w:p w14:paraId="44DB4A85" w14:textId="0904F489"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9,2</w:t>
            </w:r>
          </w:p>
        </w:tc>
      </w:tr>
      <w:tr w:rsidR="2A259567" w14:paraId="25C3D5FF"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1473" w:type="dxa"/>
            <w:tcBorders>
              <w:top w:val="nil"/>
              <w:left w:val="nil"/>
              <w:bottom w:val="nil"/>
              <w:right w:val="single" w:sz="8" w:space="0" w:color="7F7F7F" w:themeColor="text1" w:themeTint="80"/>
            </w:tcBorders>
            <w:tcMar>
              <w:left w:w="108" w:type="dxa"/>
              <w:right w:w="108" w:type="dxa"/>
            </w:tcMar>
          </w:tcPr>
          <w:p w14:paraId="6852F30E" w14:textId="5C89B12E" w:rsidR="2A259567" w:rsidRDefault="2A259567" w:rsidP="2A259567">
            <w:r w:rsidRPr="2A259567">
              <w:rPr>
                <w:rFonts w:ascii="Calibri" w:eastAsia="Calibri" w:hAnsi="Calibri" w:cs="Calibri"/>
                <w:sz w:val="22"/>
                <w:szCs w:val="22"/>
              </w:rPr>
              <w:t>ASN Energie &amp; Innovatiefonds</w:t>
            </w:r>
          </w:p>
        </w:tc>
        <w:tc>
          <w:tcPr>
            <w:tcW w:w="1022" w:type="dxa"/>
            <w:tcMar>
              <w:left w:w="108" w:type="dxa"/>
              <w:right w:w="108" w:type="dxa"/>
            </w:tcMar>
          </w:tcPr>
          <w:p w14:paraId="5E109417" w14:textId="786BD105"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9,0</w:t>
            </w:r>
          </w:p>
        </w:tc>
        <w:tc>
          <w:tcPr>
            <w:tcW w:w="984" w:type="dxa"/>
            <w:tcMar>
              <w:left w:w="108" w:type="dxa"/>
              <w:right w:w="108" w:type="dxa"/>
            </w:tcMar>
          </w:tcPr>
          <w:p w14:paraId="37085C44" w14:textId="2A660740"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8,5</w:t>
            </w:r>
          </w:p>
        </w:tc>
        <w:tc>
          <w:tcPr>
            <w:tcW w:w="1424" w:type="dxa"/>
            <w:tcMar>
              <w:left w:w="108" w:type="dxa"/>
              <w:right w:w="108" w:type="dxa"/>
            </w:tcMar>
          </w:tcPr>
          <w:p w14:paraId="433B4F8A" w14:textId="74FF3C02"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9,5</w:t>
            </w:r>
          </w:p>
        </w:tc>
        <w:tc>
          <w:tcPr>
            <w:tcW w:w="1650" w:type="dxa"/>
            <w:tcMar>
              <w:left w:w="108" w:type="dxa"/>
              <w:right w:w="108" w:type="dxa"/>
            </w:tcMar>
          </w:tcPr>
          <w:p w14:paraId="1911560D" w14:textId="70E7E12F"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8,5</w:t>
            </w:r>
          </w:p>
        </w:tc>
        <w:tc>
          <w:tcPr>
            <w:tcW w:w="1045" w:type="dxa"/>
            <w:tcMar>
              <w:left w:w="108" w:type="dxa"/>
              <w:right w:w="108" w:type="dxa"/>
            </w:tcMar>
          </w:tcPr>
          <w:p w14:paraId="2CCC8FDB" w14:textId="51CF5D8A"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85</w:t>
            </w:r>
          </w:p>
        </w:tc>
        <w:tc>
          <w:tcPr>
            <w:tcW w:w="1417" w:type="dxa"/>
            <w:tcMar>
              <w:left w:w="108" w:type="dxa"/>
              <w:right w:w="108" w:type="dxa"/>
            </w:tcMar>
          </w:tcPr>
          <w:p w14:paraId="7DCD48D7" w14:textId="3489B08D"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8,8</w:t>
            </w:r>
          </w:p>
        </w:tc>
      </w:tr>
      <w:tr w:rsidR="2A259567" w14:paraId="09C94261"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3" w:type="dxa"/>
            <w:tcBorders>
              <w:top w:val="nil"/>
              <w:left w:val="nil"/>
              <w:bottom w:val="nil"/>
              <w:right w:val="single" w:sz="8" w:space="0" w:color="7F7F7F" w:themeColor="text1" w:themeTint="80"/>
            </w:tcBorders>
            <w:tcMar>
              <w:left w:w="108" w:type="dxa"/>
              <w:right w:w="108" w:type="dxa"/>
            </w:tcMar>
          </w:tcPr>
          <w:p w14:paraId="6E83FC01" w14:textId="0A58BA31" w:rsidR="2A259567" w:rsidRDefault="2A259567" w:rsidP="2A259567">
            <w:r w:rsidRPr="2A259567">
              <w:rPr>
                <w:rFonts w:ascii="Calibri" w:eastAsia="Calibri" w:hAnsi="Calibri" w:cs="Calibri"/>
                <w:color w:val="000000" w:themeColor="text1"/>
                <w:sz w:val="22"/>
                <w:szCs w:val="22"/>
              </w:rPr>
              <w:t>Allianz Green Bond</w:t>
            </w:r>
          </w:p>
        </w:tc>
        <w:tc>
          <w:tcPr>
            <w:tcW w:w="1022" w:type="dxa"/>
            <w:tcMar>
              <w:left w:w="108" w:type="dxa"/>
              <w:right w:w="108" w:type="dxa"/>
            </w:tcMar>
          </w:tcPr>
          <w:p w14:paraId="46A5B4AA" w14:textId="7AD2C1E8"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8,5</w:t>
            </w:r>
          </w:p>
        </w:tc>
        <w:tc>
          <w:tcPr>
            <w:tcW w:w="984" w:type="dxa"/>
            <w:tcMar>
              <w:left w:w="108" w:type="dxa"/>
              <w:right w:w="108" w:type="dxa"/>
            </w:tcMar>
          </w:tcPr>
          <w:p w14:paraId="0880BE16" w14:textId="62B6C72E"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8,0</w:t>
            </w:r>
          </w:p>
        </w:tc>
        <w:tc>
          <w:tcPr>
            <w:tcW w:w="1424" w:type="dxa"/>
            <w:tcMar>
              <w:left w:w="108" w:type="dxa"/>
              <w:right w:w="108" w:type="dxa"/>
            </w:tcMar>
          </w:tcPr>
          <w:p w14:paraId="23C6B464" w14:textId="4759D929"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8,0</w:t>
            </w:r>
          </w:p>
        </w:tc>
        <w:tc>
          <w:tcPr>
            <w:tcW w:w="1650" w:type="dxa"/>
            <w:tcMar>
              <w:left w:w="108" w:type="dxa"/>
              <w:right w:w="108" w:type="dxa"/>
            </w:tcMar>
          </w:tcPr>
          <w:p w14:paraId="5C455364" w14:textId="13FBE90C"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8,5</w:t>
            </w:r>
          </w:p>
        </w:tc>
        <w:tc>
          <w:tcPr>
            <w:tcW w:w="1045" w:type="dxa"/>
            <w:tcMar>
              <w:left w:w="108" w:type="dxa"/>
              <w:right w:w="108" w:type="dxa"/>
            </w:tcMar>
          </w:tcPr>
          <w:p w14:paraId="6663DB9C" w14:textId="2673DFC0"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70</w:t>
            </w:r>
          </w:p>
        </w:tc>
        <w:tc>
          <w:tcPr>
            <w:tcW w:w="1417" w:type="dxa"/>
            <w:tcMar>
              <w:left w:w="108" w:type="dxa"/>
              <w:right w:w="108" w:type="dxa"/>
            </w:tcMar>
          </w:tcPr>
          <w:p w14:paraId="187AAB7B" w14:textId="14E8DCA8"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8,1</w:t>
            </w:r>
          </w:p>
        </w:tc>
      </w:tr>
      <w:tr w:rsidR="2A259567" w14:paraId="1747D677"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1473" w:type="dxa"/>
            <w:tcBorders>
              <w:top w:val="nil"/>
              <w:left w:val="nil"/>
              <w:bottom w:val="nil"/>
              <w:right w:val="single" w:sz="8" w:space="0" w:color="7F7F7F" w:themeColor="text1" w:themeTint="80"/>
            </w:tcBorders>
            <w:tcMar>
              <w:left w:w="108" w:type="dxa"/>
              <w:right w:w="108" w:type="dxa"/>
            </w:tcMar>
          </w:tcPr>
          <w:p w14:paraId="17EEA2A0" w14:textId="5FB69A7D" w:rsidR="2A259567" w:rsidRDefault="2A259567" w:rsidP="2A259567">
            <w:r w:rsidRPr="2A259567">
              <w:rPr>
                <w:rFonts w:ascii="Calibri" w:eastAsia="Calibri" w:hAnsi="Calibri" w:cs="Calibri"/>
                <w:sz w:val="22"/>
                <w:szCs w:val="22"/>
              </w:rPr>
              <w:t>Allianz Climate Transition</w:t>
            </w:r>
          </w:p>
        </w:tc>
        <w:tc>
          <w:tcPr>
            <w:tcW w:w="1022" w:type="dxa"/>
            <w:tcMar>
              <w:left w:w="108" w:type="dxa"/>
              <w:right w:w="108" w:type="dxa"/>
            </w:tcMar>
          </w:tcPr>
          <w:p w14:paraId="78A70EB7" w14:textId="7F84A91A"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8,0</w:t>
            </w:r>
          </w:p>
        </w:tc>
        <w:tc>
          <w:tcPr>
            <w:tcW w:w="984" w:type="dxa"/>
            <w:tcMar>
              <w:left w:w="108" w:type="dxa"/>
              <w:right w:w="108" w:type="dxa"/>
            </w:tcMar>
          </w:tcPr>
          <w:p w14:paraId="0DA23176" w14:textId="09C3AA55"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8,0</w:t>
            </w:r>
          </w:p>
        </w:tc>
        <w:tc>
          <w:tcPr>
            <w:tcW w:w="1424" w:type="dxa"/>
            <w:tcMar>
              <w:left w:w="108" w:type="dxa"/>
              <w:right w:w="108" w:type="dxa"/>
            </w:tcMar>
          </w:tcPr>
          <w:p w14:paraId="5F92E701" w14:textId="7897DED5"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7,5</w:t>
            </w:r>
          </w:p>
        </w:tc>
        <w:tc>
          <w:tcPr>
            <w:tcW w:w="1650" w:type="dxa"/>
            <w:tcMar>
              <w:left w:w="108" w:type="dxa"/>
              <w:right w:w="108" w:type="dxa"/>
            </w:tcMar>
          </w:tcPr>
          <w:p w14:paraId="471A7599" w14:textId="3D87CE88"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8,0</w:t>
            </w:r>
          </w:p>
        </w:tc>
        <w:tc>
          <w:tcPr>
            <w:tcW w:w="1045" w:type="dxa"/>
            <w:tcMar>
              <w:left w:w="108" w:type="dxa"/>
              <w:right w:w="108" w:type="dxa"/>
            </w:tcMar>
          </w:tcPr>
          <w:p w14:paraId="1E020A1A" w14:textId="6A2A35AB"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66</w:t>
            </w:r>
          </w:p>
        </w:tc>
        <w:tc>
          <w:tcPr>
            <w:tcW w:w="1417" w:type="dxa"/>
            <w:tcMar>
              <w:left w:w="108" w:type="dxa"/>
              <w:right w:w="108" w:type="dxa"/>
            </w:tcMar>
          </w:tcPr>
          <w:p w14:paraId="24977DE5" w14:textId="7C10C5D6"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7,7</w:t>
            </w:r>
          </w:p>
        </w:tc>
      </w:tr>
    </w:tbl>
    <w:p w14:paraId="2AFB47B2" w14:textId="16118037" w:rsidR="32F1AED3" w:rsidRDefault="32F1AED3" w:rsidP="2A259567">
      <w:pPr>
        <w:pStyle w:val="Heading2"/>
        <w:spacing w:before="40" w:after="0"/>
      </w:pPr>
      <w:r w:rsidRPr="2A259567">
        <w:rPr>
          <w:rFonts w:ascii="Calibri Light" w:eastAsia="Calibri Light" w:hAnsi="Calibri Light" w:cs="Calibri Light"/>
          <w:color w:val="2F5496"/>
          <w:sz w:val="26"/>
          <w:szCs w:val="26"/>
        </w:rPr>
        <w:t xml:space="preserve"> </w:t>
      </w:r>
    </w:p>
    <w:p w14:paraId="79706F2A" w14:textId="7F2C4FF5" w:rsidR="32F1AED3" w:rsidRDefault="21D74ABE" w:rsidP="2A259567">
      <w:pPr>
        <w:pStyle w:val="Heading2"/>
        <w:spacing w:before="40" w:after="0"/>
      </w:pPr>
      <w:bookmarkStart w:id="41" w:name="_Toc392762975"/>
      <w:r w:rsidRPr="6D5ED2DD">
        <w:rPr>
          <w:rFonts w:ascii="Calibri Light" w:eastAsia="Calibri Light" w:hAnsi="Calibri Light" w:cs="Calibri Light"/>
          <w:color w:val="2F5496"/>
          <w:sz w:val="26"/>
          <w:szCs w:val="26"/>
        </w:rPr>
        <w:t>2.9 Klimaatrisico’s</w:t>
      </w:r>
      <w:bookmarkEnd w:id="41"/>
      <w:r w:rsidRPr="6D5ED2DD">
        <w:rPr>
          <w:rFonts w:ascii="Calibri Light" w:eastAsia="Calibri Light" w:hAnsi="Calibri Light" w:cs="Calibri Light"/>
          <w:color w:val="2F5496"/>
          <w:sz w:val="26"/>
          <w:szCs w:val="26"/>
        </w:rPr>
        <w:t xml:space="preserve"> </w:t>
      </w:r>
    </w:p>
    <w:tbl>
      <w:tblPr>
        <w:tblStyle w:val="PlainTable3"/>
        <w:tblW w:w="0" w:type="auto"/>
        <w:tblInd w:w="-885" w:type="dxa"/>
        <w:tblLook w:val="04A0" w:firstRow="1" w:lastRow="0" w:firstColumn="1" w:lastColumn="0" w:noHBand="0" w:noVBand="1"/>
      </w:tblPr>
      <w:tblGrid>
        <w:gridCol w:w="1914"/>
        <w:gridCol w:w="1734"/>
        <w:gridCol w:w="1493"/>
        <w:gridCol w:w="1317"/>
        <w:gridCol w:w="1983"/>
        <w:gridCol w:w="392"/>
        <w:gridCol w:w="1078"/>
      </w:tblGrid>
      <w:tr w:rsidR="2A259567" w14:paraId="35092578" w14:textId="77777777" w:rsidTr="2A259567">
        <w:trPr>
          <w:cnfStyle w:val="100000000000" w:firstRow="1" w:lastRow="0" w:firstColumn="0" w:lastColumn="0" w:oddVBand="0" w:evenVBand="0" w:oddHBand="0" w:evenHBand="0" w:firstRowFirstColumn="0" w:firstRowLastColumn="0" w:lastRowFirstColumn="0" w:lastRowLastColumn="0"/>
          <w:trHeight w:val="1215"/>
        </w:trPr>
        <w:tc>
          <w:tcPr>
            <w:cnfStyle w:val="001000000100" w:firstRow="0" w:lastRow="0" w:firstColumn="1" w:lastColumn="0" w:oddVBand="0" w:evenVBand="0" w:oddHBand="0" w:evenHBand="0" w:firstRowFirstColumn="1" w:firstRowLastColumn="0" w:lastRowFirstColumn="0" w:lastRowLastColumn="0"/>
            <w:tcW w:w="2261" w:type="dxa"/>
            <w:tcBorders>
              <w:top w:val="nil"/>
              <w:left w:val="nil"/>
              <w:bottom w:val="single" w:sz="8" w:space="0" w:color="7F7F7F" w:themeColor="text1" w:themeTint="80"/>
            </w:tcBorders>
            <w:tcMar>
              <w:left w:w="108" w:type="dxa"/>
              <w:right w:w="108" w:type="dxa"/>
            </w:tcMar>
          </w:tcPr>
          <w:p w14:paraId="4E91C729" w14:textId="0DA24940" w:rsidR="2A259567" w:rsidRDefault="2A259567" w:rsidP="2A259567">
            <w:r w:rsidRPr="2A259567">
              <w:rPr>
                <w:rFonts w:ascii="Calibri" w:eastAsia="Calibri" w:hAnsi="Calibri" w:cs="Calibri"/>
                <w:sz w:val="21"/>
                <w:szCs w:val="21"/>
              </w:rPr>
              <w:t>Fonds</w:t>
            </w:r>
          </w:p>
        </w:tc>
        <w:tc>
          <w:tcPr>
            <w:tcW w:w="2002" w:type="dxa"/>
            <w:tcBorders>
              <w:top w:val="nil"/>
              <w:left w:val="nil"/>
              <w:bottom w:val="single" w:sz="8" w:space="0" w:color="7F7F7F" w:themeColor="text1" w:themeTint="80"/>
              <w:right w:val="nil"/>
            </w:tcBorders>
            <w:tcMar>
              <w:left w:w="108" w:type="dxa"/>
              <w:right w:w="108" w:type="dxa"/>
            </w:tcMar>
          </w:tcPr>
          <w:p w14:paraId="2F6F8A80" w14:textId="7D10ACA5"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Transparantie over klimaatrisico's (1-10)</w:t>
            </w:r>
          </w:p>
        </w:tc>
        <w:tc>
          <w:tcPr>
            <w:tcW w:w="1795" w:type="dxa"/>
            <w:tcBorders>
              <w:top w:val="nil"/>
              <w:left w:val="nil"/>
              <w:bottom w:val="single" w:sz="8" w:space="0" w:color="7F7F7F" w:themeColor="text1" w:themeTint="80"/>
              <w:right w:val="nil"/>
            </w:tcBorders>
            <w:tcMar>
              <w:left w:w="108" w:type="dxa"/>
              <w:right w:w="108" w:type="dxa"/>
            </w:tcMar>
          </w:tcPr>
          <w:p w14:paraId="63F96B43" w14:textId="43616ABC"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Detailniveau rapportages (1-10)</w:t>
            </w:r>
          </w:p>
        </w:tc>
        <w:tc>
          <w:tcPr>
            <w:tcW w:w="1569" w:type="dxa"/>
            <w:tcBorders>
              <w:top w:val="nil"/>
              <w:left w:val="nil"/>
              <w:bottom w:val="single" w:sz="8" w:space="0" w:color="7F7F7F" w:themeColor="text1" w:themeTint="80"/>
              <w:right w:val="nil"/>
            </w:tcBorders>
            <w:tcMar>
              <w:left w:w="108" w:type="dxa"/>
              <w:right w:w="108" w:type="dxa"/>
            </w:tcMar>
          </w:tcPr>
          <w:p w14:paraId="5D265F9D" w14:textId="46CF4CA4"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Frequentie van updates (1-10)</w:t>
            </w:r>
          </w:p>
        </w:tc>
        <w:tc>
          <w:tcPr>
            <w:tcW w:w="2254" w:type="dxa"/>
            <w:tcBorders>
              <w:top w:val="nil"/>
              <w:left w:val="nil"/>
              <w:bottom w:val="single" w:sz="8" w:space="0" w:color="7F7F7F" w:themeColor="text1" w:themeTint="80"/>
              <w:right w:val="nil"/>
            </w:tcBorders>
            <w:tcMar>
              <w:left w:w="108" w:type="dxa"/>
              <w:right w:w="108" w:type="dxa"/>
            </w:tcMar>
          </w:tcPr>
          <w:p w14:paraId="7F0268A9" w14:textId="64BA3896"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Gebruik van klimaatmodellen en scenario's (1-10)</w:t>
            </w:r>
          </w:p>
        </w:tc>
        <w:tc>
          <w:tcPr>
            <w:tcW w:w="1465" w:type="dxa"/>
            <w:gridSpan w:val="2"/>
            <w:tcBorders>
              <w:top w:val="nil"/>
              <w:left w:val="nil"/>
              <w:bottom w:val="single" w:sz="8" w:space="0" w:color="7F7F7F" w:themeColor="text1" w:themeTint="80"/>
              <w:right w:val="nil"/>
            </w:tcBorders>
            <w:tcMar>
              <w:left w:w="108" w:type="dxa"/>
              <w:right w:w="108" w:type="dxa"/>
            </w:tcMar>
          </w:tcPr>
          <w:p w14:paraId="707C503A" w14:textId="5118CADF"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Gewogen score (25/25/25/25)</w:t>
            </w:r>
          </w:p>
        </w:tc>
      </w:tr>
      <w:tr w:rsidR="2A259567" w14:paraId="00E00396" w14:textId="77777777" w:rsidTr="2A25956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61" w:type="dxa"/>
            <w:tcBorders>
              <w:top w:val="single" w:sz="8" w:space="0" w:color="7F7F7F" w:themeColor="text1" w:themeTint="80"/>
              <w:left w:val="nil"/>
              <w:bottom w:val="nil"/>
              <w:right w:val="single" w:sz="8" w:space="0" w:color="7F7F7F" w:themeColor="text1" w:themeTint="80"/>
            </w:tcBorders>
            <w:tcMar>
              <w:left w:w="108" w:type="dxa"/>
              <w:right w:w="108" w:type="dxa"/>
            </w:tcMar>
          </w:tcPr>
          <w:p w14:paraId="3B7788E2" w14:textId="58231611" w:rsidR="2A259567" w:rsidRDefault="2A259567" w:rsidP="2A259567">
            <w:r w:rsidRPr="2A259567">
              <w:rPr>
                <w:rFonts w:ascii="Calibri" w:eastAsia="Calibri" w:hAnsi="Calibri" w:cs="Calibri"/>
                <w:color w:val="000000" w:themeColor="text1"/>
                <w:sz w:val="21"/>
                <w:szCs w:val="21"/>
              </w:rPr>
              <w:t>Robeco Groene Obligaties</w:t>
            </w:r>
          </w:p>
        </w:tc>
        <w:tc>
          <w:tcPr>
            <w:tcW w:w="2002" w:type="dxa"/>
            <w:tcMar>
              <w:left w:w="108" w:type="dxa"/>
              <w:right w:w="108" w:type="dxa"/>
            </w:tcMar>
          </w:tcPr>
          <w:p w14:paraId="17EAC20F" w14:textId="417603D3"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9</w:t>
            </w:r>
          </w:p>
        </w:tc>
        <w:tc>
          <w:tcPr>
            <w:tcW w:w="1795" w:type="dxa"/>
            <w:tcMar>
              <w:left w:w="108" w:type="dxa"/>
              <w:right w:w="108" w:type="dxa"/>
            </w:tcMar>
          </w:tcPr>
          <w:p w14:paraId="5F955406" w14:textId="2D9E4264"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9</w:t>
            </w:r>
          </w:p>
        </w:tc>
        <w:tc>
          <w:tcPr>
            <w:tcW w:w="1569" w:type="dxa"/>
            <w:tcMar>
              <w:left w:w="108" w:type="dxa"/>
              <w:right w:w="108" w:type="dxa"/>
            </w:tcMar>
          </w:tcPr>
          <w:p w14:paraId="3407BD03" w14:textId="3DF66AC1"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8</w:t>
            </w:r>
          </w:p>
        </w:tc>
        <w:tc>
          <w:tcPr>
            <w:tcW w:w="2610" w:type="dxa"/>
            <w:gridSpan w:val="2"/>
            <w:tcMar>
              <w:left w:w="108" w:type="dxa"/>
              <w:right w:w="108" w:type="dxa"/>
            </w:tcMar>
          </w:tcPr>
          <w:p w14:paraId="3340451E" w14:textId="60D7F8C6"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9</w:t>
            </w:r>
          </w:p>
        </w:tc>
        <w:tc>
          <w:tcPr>
            <w:tcW w:w="1109" w:type="dxa"/>
            <w:tcBorders>
              <w:bottom w:val="single" w:sz="8" w:space="0" w:color="7F7F7F" w:themeColor="text1" w:themeTint="80"/>
            </w:tcBorders>
            <w:tcMar>
              <w:left w:w="108" w:type="dxa"/>
              <w:right w:w="108" w:type="dxa"/>
            </w:tcMar>
          </w:tcPr>
          <w:p w14:paraId="67E2F00D" w14:textId="3B2E1A1E"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8,8</w:t>
            </w:r>
          </w:p>
        </w:tc>
      </w:tr>
      <w:tr w:rsidR="2A259567" w14:paraId="51F15FC8" w14:textId="77777777" w:rsidTr="2A259567">
        <w:trPr>
          <w:trHeight w:val="480"/>
        </w:trPr>
        <w:tc>
          <w:tcPr>
            <w:cnfStyle w:val="001000000000" w:firstRow="0" w:lastRow="0" w:firstColumn="1" w:lastColumn="0" w:oddVBand="0" w:evenVBand="0" w:oddHBand="0" w:evenHBand="0" w:firstRowFirstColumn="0" w:firstRowLastColumn="0" w:lastRowFirstColumn="0" w:lastRowLastColumn="0"/>
            <w:tcW w:w="2261" w:type="dxa"/>
            <w:tcBorders>
              <w:top w:val="nil"/>
              <w:left w:val="nil"/>
              <w:bottom w:val="nil"/>
              <w:right w:val="single" w:sz="8" w:space="0" w:color="7F7F7F" w:themeColor="text1" w:themeTint="80"/>
            </w:tcBorders>
            <w:tcMar>
              <w:left w:w="108" w:type="dxa"/>
              <w:right w:w="108" w:type="dxa"/>
            </w:tcMar>
          </w:tcPr>
          <w:p w14:paraId="5FCBEBAC" w14:textId="7127D4D0" w:rsidR="2A259567" w:rsidRDefault="2A259567" w:rsidP="2A259567">
            <w:r w:rsidRPr="2A259567">
              <w:rPr>
                <w:rFonts w:ascii="Calibri" w:eastAsia="Calibri" w:hAnsi="Calibri" w:cs="Calibri"/>
                <w:sz w:val="21"/>
                <w:szCs w:val="21"/>
              </w:rPr>
              <w:t>ASN Energie &amp; Innovatiefonds</w:t>
            </w:r>
          </w:p>
        </w:tc>
        <w:tc>
          <w:tcPr>
            <w:tcW w:w="2002" w:type="dxa"/>
            <w:tcMar>
              <w:left w:w="108" w:type="dxa"/>
              <w:right w:w="108" w:type="dxa"/>
            </w:tcMar>
          </w:tcPr>
          <w:p w14:paraId="2A13DA75" w14:textId="48177E91"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8</w:t>
            </w:r>
          </w:p>
        </w:tc>
        <w:tc>
          <w:tcPr>
            <w:tcW w:w="1795" w:type="dxa"/>
            <w:tcMar>
              <w:left w:w="108" w:type="dxa"/>
              <w:right w:w="108" w:type="dxa"/>
            </w:tcMar>
          </w:tcPr>
          <w:p w14:paraId="4F56E734" w14:textId="35E43E3E"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8</w:t>
            </w:r>
          </w:p>
        </w:tc>
        <w:tc>
          <w:tcPr>
            <w:tcW w:w="1569" w:type="dxa"/>
            <w:tcMar>
              <w:left w:w="108" w:type="dxa"/>
              <w:right w:w="108" w:type="dxa"/>
            </w:tcMar>
          </w:tcPr>
          <w:p w14:paraId="6C2F7DD2" w14:textId="46A17A8E"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7</w:t>
            </w:r>
          </w:p>
        </w:tc>
        <w:tc>
          <w:tcPr>
            <w:tcW w:w="2610" w:type="dxa"/>
            <w:gridSpan w:val="2"/>
            <w:tcMar>
              <w:left w:w="108" w:type="dxa"/>
              <w:right w:w="108" w:type="dxa"/>
            </w:tcMar>
          </w:tcPr>
          <w:p w14:paraId="5AC0DE80" w14:textId="696ABF48"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8</w:t>
            </w:r>
          </w:p>
        </w:tc>
        <w:tc>
          <w:tcPr>
            <w:tcW w:w="1109" w:type="dxa"/>
            <w:tcMar>
              <w:left w:w="108" w:type="dxa"/>
              <w:right w:w="108" w:type="dxa"/>
            </w:tcMar>
          </w:tcPr>
          <w:p w14:paraId="604F7B2A" w14:textId="07B3DB69"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7,8</w:t>
            </w:r>
          </w:p>
        </w:tc>
      </w:tr>
      <w:tr w:rsidR="2A259567" w14:paraId="098F60B2" w14:textId="77777777" w:rsidTr="2A25956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61" w:type="dxa"/>
            <w:tcBorders>
              <w:top w:val="nil"/>
              <w:left w:val="nil"/>
              <w:bottom w:val="nil"/>
              <w:right w:val="single" w:sz="8" w:space="0" w:color="7F7F7F" w:themeColor="text1" w:themeTint="80"/>
            </w:tcBorders>
            <w:tcMar>
              <w:left w:w="108" w:type="dxa"/>
              <w:right w:w="108" w:type="dxa"/>
            </w:tcMar>
          </w:tcPr>
          <w:p w14:paraId="2664F861" w14:textId="130C6519" w:rsidR="2A259567" w:rsidRDefault="2A259567" w:rsidP="2A259567">
            <w:r w:rsidRPr="2A259567">
              <w:rPr>
                <w:rFonts w:ascii="Calibri" w:eastAsia="Calibri" w:hAnsi="Calibri" w:cs="Calibri"/>
                <w:color w:val="000000" w:themeColor="text1"/>
                <w:sz w:val="21"/>
                <w:szCs w:val="21"/>
              </w:rPr>
              <w:t>Allianz Groene Obligatie</w:t>
            </w:r>
          </w:p>
        </w:tc>
        <w:tc>
          <w:tcPr>
            <w:tcW w:w="2002" w:type="dxa"/>
            <w:tcMar>
              <w:left w:w="108" w:type="dxa"/>
              <w:right w:w="108" w:type="dxa"/>
            </w:tcMar>
          </w:tcPr>
          <w:p w14:paraId="6F3E3B3C" w14:textId="190DBA71"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7</w:t>
            </w:r>
          </w:p>
        </w:tc>
        <w:tc>
          <w:tcPr>
            <w:tcW w:w="1795" w:type="dxa"/>
            <w:tcMar>
              <w:left w:w="108" w:type="dxa"/>
              <w:right w:w="108" w:type="dxa"/>
            </w:tcMar>
          </w:tcPr>
          <w:p w14:paraId="539F1A57" w14:textId="73E6537A"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7</w:t>
            </w:r>
          </w:p>
        </w:tc>
        <w:tc>
          <w:tcPr>
            <w:tcW w:w="1569" w:type="dxa"/>
            <w:tcMar>
              <w:left w:w="108" w:type="dxa"/>
              <w:right w:w="108" w:type="dxa"/>
            </w:tcMar>
          </w:tcPr>
          <w:p w14:paraId="20A5498F" w14:textId="0C51D7B6"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7</w:t>
            </w:r>
          </w:p>
        </w:tc>
        <w:tc>
          <w:tcPr>
            <w:tcW w:w="2610" w:type="dxa"/>
            <w:gridSpan w:val="2"/>
            <w:tcMar>
              <w:left w:w="108" w:type="dxa"/>
              <w:right w:w="108" w:type="dxa"/>
            </w:tcMar>
          </w:tcPr>
          <w:p w14:paraId="3CF9E77C" w14:textId="3F1A0757"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7</w:t>
            </w:r>
          </w:p>
        </w:tc>
        <w:tc>
          <w:tcPr>
            <w:tcW w:w="1109" w:type="dxa"/>
            <w:tcMar>
              <w:left w:w="108" w:type="dxa"/>
              <w:right w:w="108" w:type="dxa"/>
            </w:tcMar>
          </w:tcPr>
          <w:p w14:paraId="49D3A02E" w14:textId="7D1D43E1"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1"/>
                <w:szCs w:val="21"/>
              </w:rPr>
              <w:t>7,0</w:t>
            </w:r>
          </w:p>
        </w:tc>
      </w:tr>
      <w:tr w:rsidR="2A259567" w14:paraId="2D36D9EB" w14:textId="77777777" w:rsidTr="2A259567">
        <w:trPr>
          <w:trHeight w:val="495"/>
        </w:trPr>
        <w:tc>
          <w:tcPr>
            <w:cnfStyle w:val="001000000000" w:firstRow="0" w:lastRow="0" w:firstColumn="1" w:lastColumn="0" w:oddVBand="0" w:evenVBand="0" w:oddHBand="0" w:evenHBand="0" w:firstRowFirstColumn="0" w:firstRowLastColumn="0" w:lastRowFirstColumn="0" w:lastRowLastColumn="0"/>
            <w:tcW w:w="2261" w:type="dxa"/>
            <w:tcBorders>
              <w:top w:val="nil"/>
              <w:left w:val="nil"/>
              <w:bottom w:val="nil"/>
              <w:right w:val="single" w:sz="8" w:space="0" w:color="7F7F7F" w:themeColor="text1" w:themeTint="80"/>
            </w:tcBorders>
            <w:tcMar>
              <w:left w:w="108" w:type="dxa"/>
              <w:right w:w="108" w:type="dxa"/>
            </w:tcMar>
          </w:tcPr>
          <w:p w14:paraId="7CC34B84" w14:textId="1C9CB8B7" w:rsidR="2A259567" w:rsidRDefault="2A259567" w:rsidP="2A259567">
            <w:r w:rsidRPr="2A259567">
              <w:rPr>
                <w:rFonts w:ascii="Calibri" w:eastAsia="Calibri" w:hAnsi="Calibri" w:cs="Calibri"/>
                <w:sz w:val="21"/>
                <w:szCs w:val="21"/>
              </w:rPr>
              <w:t>Allianz Klimaattransitie</w:t>
            </w:r>
          </w:p>
        </w:tc>
        <w:tc>
          <w:tcPr>
            <w:tcW w:w="2002" w:type="dxa"/>
            <w:tcMar>
              <w:left w:w="108" w:type="dxa"/>
              <w:right w:w="108" w:type="dxa"/>
            </w:tcMar>
          </w:tcPr>
          <w:p w14:paraId="05332344" w14:textId="19676528"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8</w:t>
            </w:r>
          </w:p>
        </w:tc>
        <w:tc>
          <w:tcPr>
            <w:tcW w:w="1795" w:type="dxa"/>
            <w:tcMar>
              <w:left w:w="108" w:type="dxa"/>
              <w:right w:w="108" w:type="dxa"/>
            </w:tcMar>
          </w:tcPr>
          <w:p w14:paraId="30C091FE" w14:textId="45FB6802"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8</w:t>
            </w:r>
          </w:p>
        </w:tc>
        <w:tc>
          <w:tcPr>
            <w:tcW w:w="1569" w:type="dxa"/>
            <w:tcMar>
              <w:left w:w="108" w:type="dxa"/>
              <w:right w:w="108" w:type="dxa"/>
            </w:tcMar>
          </w:tcPr>
          <w:p w14:paraId="710336D0" w14:textId="39D87768"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8</w:t>
            </w:r>
          </w:p>
        </w:tc>
        <w:tc>
          <w:tcPr>
            <w:tcW w:w="2610" w:type="dxa"/>
            <w:gridSpan w:val="2"/>
            <w:tcMar>
              <w:left w:w="108" w:type="dxa"/>
              <w:right w:w="108" w:type="dxa"/>
            </w:tcMar>
          </w:tcPr>
          <w:p w14:paraId="78A26F59" w14:textId="46323EAC"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8</w:t>
            </w:r>
          </w:p>
        </w:tc>
        <w:tc>
          <w:tcPr>
            <w:tcW w:w="1109" w:type="dxa"/>
            <w:tcMar>
              <w:left w:w="108" w:type="dxa"/>
              <w:right w:w="108" w:type="dxa"/>
            </w:tcMar>
          </w:tcPr>
          <w:p w14:paraId="6CC0631C" w14:textId="36BAF9AA"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1"/>
                <w:szCs w:val="21"/>
              </w:rPr>
              <w:t>8,0</w:t>
            </w:r>
          </w:p>
        </w:tc>
      </w:tr>
      <w:tr w:rsidR="2A259567" w14:paraId="5E3B3CD7"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1" w:type="dxa"/>
            <w:tcBorders>
              <w:top w:val="nil"/>
              <w:left w:val="nil"/>
              <w:bottom w:val="nil"/>
              <w:right w:val="nil"/>
            </w:tcBorders>
            <w:vAlign w:val="center"/>
          </w:tcPr>
          <w:p w14:paraId="35CD2D24" w14:textId="5EA75D53" w:rsidR="2A259567" w:rsidRDefault="2A259567"/>
        </w:tc>
        <w:tc>
          <w:tcPr>
            <w:tcW w:w="2002" w:type="dxa"/>
            <w:tcBorders>
              <w:left w:val="nil"/>
              <w:bottom w:val="nil"/>
              <w:right w:val="nil"/>
            </w:tcBorders>
            <w:vAlign w:val="center"/>
          </w:tcPr>
          <w:p w14:paraId="7A9CA868" w14:textId="3EC512A9" w:rsidR="2A259567" w:rsidRDefault="2A259567">
            <w:pPr>
              <w:cnfStyle w:val="000000100000" w:firstRow="0" w:lastRow="0" w:firstColumn="0" w:lastColumn="0" w:oddVBand="0" w:evenVBand="0" w:oddHBand="1" w:evenHBand="0" w:firstRowFirstColumn="0" w:firstRowLastColumn="0" w:lastRowFirstColumn="0" w:lastRowLastColumn="0"/>
            </w:pPr>
          </w:p>
        </w:tc>
        <w:tc>
          <w:tcPr>
            <w:tcW w:w="1795" w:type="dxa"/>
            <w:tcBorders>
              <w:left w:val="nil"/>
              <w:bottom w:val="nil"/>
              <w:right w:val="nil"/>
            </w:tcBorders>
            <w:vAlign w:val="center"/>
          </w:tcPr>
          <w:p w14:paraId="1626BB7E" w14:textId="0F35ED1F" w:rsidR="2A259567" w:rsidRDefault="2A259567">
            <w:pPr>
              <w:cnfStyle w:val="000000100000" w:firstRow="0" w:lastRow="0" w:firstColumn="0" w:lastColumn="0" w:oddVBand="0" w:evenVBand="0" w:oddHBand="1" w:evenHBand="0" w:firstRowFirstColumn="0" w:firstRowLastColumn="0" w:lastRowFirstColumn="0" w:lastRowLastColumn="0"/>
            </w:pPr>
          </w:p>
        </w:tc>
        <w:tc>
          <w:tcPr>
            <w:tcW w:w="1569" w:type="dxa"/>
            <w:tcBorders>
              <w:left w:val="nil"/>
              <w:bottom w:val="nil"/>
              <w:right w:val="nil"/>
            </w:tcBorders>
            <w:vAlign w:val="center"/>
          </w:tcPr>
          <w:p w14:paraId="6427380A" w14:textId="0A1EB404" w:rsidR="2A259567" w:rsidRDefault="2A259567">
            <w:pPr>
              <w:cnfStyle w:val="000000100000" w:firstRow="0" w:lastRow="0" w:firstColumn="0" w:lastColumn="0" w:oddVBand="0" w:evenVBand="0" w:oddHBand="1" w:evenHBand="0" w:firstRowFirstColumn="0" w:firstRowLastColumn="0" w:lastRowFirstColumn="0" w:lastRowLastColumn="0"/>
            </w:pPr>
          </w:p>
        </w:tc>
        <w:tc>
          <w:tcPr>
            <w:tcW w:w="2254" w:type="dxa"/>
            <w:tcBorders>
              <w:left w:val="nil"/>
              <w:bottom w:val="nil"/>
              <w:right w:val="nil"/>
            </w:tcBorders>
            <w:vAlign w:val="center"/>
          </w:tcPr>
          <w:p w14:paraId="474AA947" w14:textId="26499E20" w:rsidR="2A259567" w:rsidRDefault="2A259567">
            <w:pPr>
              <w:cnfStyle w:val="000000100000" w:firstRow="0" w:lastRow="0" w:firstColumn="0" w:lastColumn="0" w:oddVBand="0" w:evenVBand="0" w:oddHBand="1" w:evenHBand="0" w:firstRowFirstColumn="0" w:firstRowLastColumn="0" w:lastRowFirstColumn="0" w:lastRowLastColumn="0"/>
            </w:pPr>
          </w:p>
        </w:tc>
        <w:tc>
          <w:tcPr>
            <w:tcW w:w="356" w:type="dxa"/>
            <w:tcBorders>
              <w:top w:val="nil"/>
              <w:left w:val="nil"/>
              <w:bottom w:val="nil"/>
              <w:right w:val="nil"/>
            </w:tcBorders>
            <w:vAlign w:val="center"/>
          </w:tcPr>
          <w:p w14:paraId="7C12D0F6" w14:textId="57255614" w:rsidR="2A259567" w:rsidRDefault="2A259567">
            <w:pPr>
              <w:cnfStyle w:val="000000100000" w:firstRow="0" w:lastRow="0" w:firstColumn="0" w:lastColumn="0" w:oddVBand="0" w:evenVBand="0" w:oddHBand="1" w:evenHBand="0" w:firstRowFirstColumn="0" w:firstRowLastColumn="0" w:lastRowFirstColumn="0" w:lastRowLastColumn="0"/>
            </w:pPr>
          </w:p>
        </w:tc>
        <w:tc>
          <w:tcPr>
            <w:tcW w:w="1109" w:type="dxa"/>
            <w:tcBorders>
              <w:left w:val="nil"/>
              <w:bottom w:val="nil"/>
              <w:right w:val="nil"/>
            </w:tcBorders>
            <w:vAlign w:val="center"/>
          </w:tcPr>
          <w:p w14:paraId="7AACC5A4" w14:textId="21CE854A" w:rsidR="2A259567" w:rsidRDefault="2A259567">
            <w:pPr>
              <w:cnfStyle w:val="000000100000" w:firstRow="0" w:lastRow="0" w:firstColumn="0" w:lastColumn="0" w:oddVBand="0" w:evenVBand="0" w:oddHBand="1" w:evenHBand="0" w:firstRowFirstColumn="0" w:firstRowLastColumn="0" w:lastRowFirstColumn="0" w:lastRowLastColumn="0"/>
            </w:pPr>
          </w:p>
        </w:tc>
      </w:tr>
    </w:tbl>
    <w:p w14:paraId="1608D477" w14:textId="0ED55DEE" w:rsidR="32F1AED3" w:rsidRDefault="32F1AED3" w:rsidP="2A259567">
      <w:pPr>
        <w:spacing w:after="0"/>
      </w:pPr>
      <w:r w:rsidRPr="2A259567">
        <w:rPr>
          <w:rFonts w:ascii="Calibri" w:eastAsia="Calibri" w:hAnsi="Calibri" w:cs="Calibri"/>
          <w:sz w:val="21"/>
          <w:szCs w:val="21"/>
        </w:rPr>
        <w:t xml:space="preserve"> </w:t>
      </w:r>
    </w:p>
    <w:p w14:paraId="6406DACC" w14:textId="2D936461" w:rsidR="32F1AED3" w:rsidRDefault="32F1AED3" w:rsidP="2A259567">
      <w:pPr>
        <w:spacing w:after="0"/>
      </w:pPr>
      <w:r w:rsidRPr="2A259567">
        <w:rPr>
          <w:rFonts w:ascii="Calibri" w:eastAsia="Calibri" w:hAnsi="Calibri" w:cs="Calibri"/>
        </w:rPr>
        <w:t>Toelichting:</w:t>
      </w:r>
    </w:p>
    <w:p w14:paraId="09AF8895" w14:textId="7957C3B8" w:rsidR="32F1AED3" w:rsidRDefault="32F1AED3" w:rsidP="2A259567">
      <w:pPr>
        <w:pStyle w:val="ListParagraph"/>
        <w:numPr>
          <w:ilvl w:val="0"/>
          <w:numId w:val="4"/>
        </w:numPr>
        <w:spacing w:after="0"/>
        <w:rPr>
          <w:rFonts w:ascii="Calibri" w:eastAsia="Calibri" w:hAnsi="Calibri" w:cs="Calibri"/>
        </w:rPr>
      </w:pPr>
      <w:r w:rsidRPr="2A259567">
        <w:rPr>
          <w:rFonts w:ascii="Calibri" w:eastAsia="Calibri" w:hAnsi="Calibri" w:cs="Calibri"/>
        </w:rPr>
        <w:t>Robeco scoort hoog vanwege zeer uitgebreide rapportages, inclusief CO2-voetafdrukken en scenario-analyses waarin klimaatrisico's duidelijk worden beschreven.</w:t>
      </w:r>
    </w:p>
    <w:p w14:paraId="437B9C79" w14:textId="543CE3A1" w:rsidR="32F1AED3" w:rsidRDefault="32F1AED3" w:rsidP="2A259567">
      <w:pPr>
        <w:pStyle w:val="ListParagraph"/>
        <w:numPr>
          <w:ilvl w:val="0"/>
          <w:numId w:val="4"/>
        </w:numPr>
        <w:spacing w:after="0"/>
        <w:rPr>
          <w:rFonts w:ascii="Calibri" w:eastAsia="Calibri" w:hAnsi="Calibri" w:cs="Calibri"/>
        </w:rPr>
      </w:pPr>
      <w:r w:rsidRPr="2A259567">
        <w:rPr>
          <w:rFonts w:ascii="Calibri" w:eastAsia="Calibri" w:hAnsi="Calibri" w:cs="Calibri"/>
        </w:rPr>
        <w:t>ASN heeft goede transparantie, met duidelijke ESG-rapportage en aandacht voor energietransitie, maar minder frequent gedetailleerd dan Robeco.</w:t>
      </w:r>
    </w:p>
    <w:p w14:paraId="785C35BB" w14:textId="1F2F2560" w:rsidR="32F1AED3" w:rsidRDefault="32F1AED3" w:rsidP="2A259567">
      <w:pPr>
        <w:pStyle w:val="ListParagraph"/>
        <w:numPr>
          <w:ilvl w:val="0"/>
          <w:numId w:val="4"/>
        </w:numPr>
        <w:spacing w:after="0"/>
        <w:rPr>
          <w:rFonts w:ascii="Calibri" w:eastAsia="Calibri" w:hAnsi="Calibri" w:cs="Calibri"/>
        </w:rPr>
      </w:pPr>
      <w:r w:rsidRPr="2A259567">
        <w:rPr>
          <w:rFonts w:ascii="Calibri" w:eastAsia="Calibri" w:hAnsi="Calibri" w:cs="Calibri"/>
        </w:rPr>
        <w:t>Allianz Green Bond biedt ook informatie over klimaatrisico's, maar minder diepgaand dan Robeco en ASN.</w:t>
      </w:r>
    </w:p>
    <w:p w14:paraId="4427608E" w14:textId="4D813DC2" w:rsidR="32F1AED3" w:rsidRDefault="32F1AED3" w:rsidP="2A259567">
      <w:pPr>
        <w:pStyle w:val="ListParagraph"/>
        <w:numPr>
          <w:ilvl w:val="0"/>
          <w:numId w:val="4"/>
        </w:numPr>
        <w:spacing w:after="0"/>
        <w:rPr>
          <w:rFonts w:ascii="Calibri" w:eastAsia="Calibri" w:hAnsi="Calibri" w:cs="Calibri"/>
        </w:rPr>
      </w:pPr>
      <w:r w:rsidRPr="2A259567">
        <w:rPr>
          <w:rFonts w:ascii="Calibri" w:eastAsia="Calibri" w:hAnsi="Calibri" w:cs="Calibri"/>
        </w:rPr>
        <w:t xml:space="preserve">Allianz </w:t>
      </w:r>
      <w:proofErr w:type="spellStart"/>
      <w:r w:rsidRPr="2A259567">
        <w:rPr>
          <w:rFonts w:ascii="Calibri" w:eastAsia="Calibri" w:hAnsi="Calibri" w:cs="Calibri"/>
        </w:rPr>
        <w:t>Climate</w:t>
      </w:r>
      <w:proofErr w:type="spellEnd"/>
      <w:r w:rsidRPr="2A259567">
        <w:rPr>
          <w:rFonts w:ascii="Calibri" w:eastAsia="Calibri" w:hAnsi="Calibri" w:cs="Calibri"/>
        </w:rPr>
        <w:t xml:space="preserve"> </w:t>
      </w:r>
      <w:proofErr w:type="spellStart"/>
      <w:r w:rsidRPr="2A259567">
        <w:rPr>
          <w:rFonts w:ascii="Calibri" w:eastAsia="Calibri" w:hAnsi="Calibri" w:cs="Calibri"/>
        </w:rPr>
        <w:t>Transition</w:t>
      </w:r>
      <w:proofErr w:type="spellEnd"/>
      <w:r w:rsidRPr="2A259567">
        <w:rPr>
          <w:rFonts w:ascii="Calibri" w:eastAsia="Calibri" w:hAnsi="Calibri" w:cs="Calibri"/>
        </w:rPr>
        <w:t xml:space="preserve"> heeft solide rapportagepraktijken met focus op klimaattransitie, scenario's en risicobeheer.</w:t>
      </w:r>
    </w:p>
    <w:p w14:paraId="01AACB66" w14:textId="502B08E3" w:rsidR="32F1AED3" w:rsidRDefault="32F1AED3" w:rsidP="2A259567">
      <w:pPr>
        <w:spacing w:after="0"/>
      </w:pPr>
      <w:r w:rsidRPr="2A259567">
        <w:rPr>
          <w:rFonts w:ascii="Calibri" w:eastAsia="Calibri" w:hAnsi="Calibri" w:cs="Calibri"/>
        </w:rPr>
        <w:t xml:space="preserve"> </w:t>
      </w:r>
    </w:p>
    <w:p w14:paraId="4518A921" w14:textId="79384B22" w:rsidR="32F1AED3" w:rsidRDefault="21D74ABE" w:rsidP="6D5ED2DD">
      <w:pPr>
        <w:pStyle w:val="Heading2"/>
        <w:spacing w:before="40" w:after="0"/>
        <w:rPr>
          <w:rFonts w:ascii="Calibri Light" w:eastAsia="Calibri Light" w:hAnsi="Calibri Light" w:cs="Calibri Light"/>
          <w:color w:val="2F5496"/>
          <w:sz w:val="26"/>
          <w:szCs w:val="26"/>
        </w:rPr>
      </w:pPr>
      <w:bookmarkStart w:id="42" w:name="_Toc869678545"/>
      <w:r w:rsidRPr="6D5ED2DD">
        <w:rPr>
          <w:rFonts w:ascii="Calibri Light" w:eastAsia="Calibri Light" w:hAnsi="Calibri Light" w:cs="Calibri Light"/>
          <w:color w:val="2F5496"/>
          <w:sz w:val="26"/>
          <w:szCs w:val="26"/>
        </w:rPr>
        <w:t>2.10 Klantcommunicatie</w:t>
      </w:r>
      <w:bookmarkEnd w:id="42"/>
    </w:p>
    <w:tbl>
      <w:tblPr>
        <w:tblStyle w:val="PlainTable3"/>
        <w:tblW w:w="0" w:type="auto"/>
        <w:tblLook w:val="04A0" w:firstRow="1" w:lastRow="0" w:firstColumn="1" w:lastColumn="0" w:noHBand="0" w:noVBand="1"/>
      </w:tblPr>
      <w:tblGrid>
        <w:gridCol w:w="1855"/>
        <w:gridCol w:w="1901"/>
        <w:gridCol w:w="2095"/>
        <w:gridCol w:w="1740"/>
        <w:gridCol w:w="1435"/>
      </w:tblGrid>
      <w:tr w:rsidR="2A259567" w14:paraId="51A8739C" w14:textId="77777777" w:rsidTr="2A25956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766" w:type="dxa"/>
            <w:tcBorders>
              <w:top w:val="nil"/>
              <w:left w:val="nil"/>
              <w:bottom w:val="single" w:sz="8" w:space="0" w:color="7F7F7F" w:themeColor="text1" w:themeTint="80"/>
            </w:tcBorders>
            <w:tcMar>
              <w:left w:w="108" w:type="dxa"/>
              <w:right w:w="108" w:type="dxa"/>
            </w:tcMar>
          </w:tcPr>
          <w:p w14:paraId="1BF5696D" w14:textId="0CA79EE6" w:rsidR="2A259567" w:rsidRDefault="2A259567" w:rsidP="2A259567">
            <w:r w:rsidRPr="2A259567">
              <w:rPr>
                <w:rFonts w:ascii="Calibri" w:eastAsia="Calibri" w:hAnsi="Calibri" w:cs="Calibri"/>
                <w:sz w:val="22"/>
                <w:szCs w:val="22"/>
              </w:rPr>
              <w:t>Fonds</w:t>
            </w:r>
          </w:p>
        </w:tc>
        <w:tc>
          <w:tcPr>
            <w:tcW w:w="1920" w:type="dxa"/>
            <w:tcBorders>
              <w:top w:val="nil"/>
              <w:left w:val="nil"/>
              <w:bottom w:val="single" w:sz="8" w:space="0" w:color="7F7F7F" w:themeColor="text1" w:themeTint="80"/>
              <w:right w:val="nil"/>
            </w:tcBorders>
            <w:tcMar>
              <w:left w:w="108" w:type="dxa"/>
              <w:right w:w="108" w:type="dxa"/>
            </w:tcMar>
          </w:tcPr>
          <w:p w14:paraId="235DFA28" w14:textId="2F262240"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Duidelijkheid communicatie (1-10)</w:t>
            </w:r>
          </w:p>
        </w:tc>
        <w:tc>
          <w:tcPr>
            <w:tcW w:w="2121" w:type="dxa"/>
            <w:tcBorders>
              <w:top w:val="nil"/>
              <w:left w:val="nil"/>
              <w:bottom w:val="single" w:sz="8" w:space="0" w:color="7F7F7F" w:themeColor="text1" w:themeTint="80"/>
              <w:right w:val="nil"/>
            </w:tcBorders>
            <w:tcMar>
              <w:left w:w="108" w:type="dxa"/>
              <w:right w:w="108" w:type="dxa"/>
            </w:tcMar>
          </w:tcPr>
          <w:p w14:paraId="1B0EB092" w14:textId="3FFD9647"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Begrijpelijkheid voor klanten (1-10)</w:t>
            </w:r>
          </w:p>
        </w:tc>
        <w:tc>
          <w:tcPr>
            <w:tcW w:w="1750" w:type="dxa"/>
            <w:tcBorders>
              <w:top w:val="nil"/>
              <w:left w:val="nil"/>
              <w:bottom w:val="single" w:sz="8" w:space="0" w:color="7F7F7F" w:themeColor="text1" w:themeTint="80"/>
              <w:right w:val="nil"/>
            </w:tcBorders>
            <w:tcMar>
              <w:left w:w="108" w:type="dxa"/>
              <w:right w:w="108" w:type="dxa"/>
            </w:tcMar>
          </w:tcPr>
          <w:p w14:paraId="0633577B" w14:textId="52BCE12C"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Vindbaarheid informatie (1-10)</w:t>
            </w:r>
          </w:p>
        </w:tc>
        <w:tc>
          <w:tcPr>
            <w:tcW w:w="1458" w:type="dxa"/>
            <w:tcBorders>
              <w:top w:val="nil"/>
              <w:left w:val="nil"/>
              <w:bottom w:val="single" w:sz="8" w:space="0" w:color="7F7F7F" w:themeColor="text1" w:themeTint="80"/>
              <w:right w:val="nil"/>
            </w:tcBorders>
            <w:tcMar>
              <w:left w:w="108" w:type="dxa"/>
              <w:right w:w="108" w:type="dxa"/>
            </w:tcMar>
          </w:tcPr>
          <w:p w14:paraId="16C3BB35" w14:textId="1E8360E0" w:rsidR="2A259567" w:rsidRDefault="2A259567" w:rsidP="2A259567">
            <w:pPr>
              <w:cnfStyle w:val="100000000000" w:firstRow="1"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Gewogen score (33/33/34)</w:t>
            </w:r>
          </w:p>
        </w:tc>
      </w:tr>
      <w:tr w:rsidR="2A259567" w14:paraId="1DB3A76B"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6" w:type="dxa"/>
            <w:tcBorders>
              <w:top w:val="single" w:sz="8" w:space="0" w:color="7F7F7F" w:themeColor="text1" w:themeTint="80"/>
              <w:left w:val="nil"/>
              <w:bottom w:val="nil"/>
              <w:right w:val="single" w:sz="8" w:space="0" w:color="7F7F7F" w:themeColor="text1" w:themeTint="80"/>
            </w:tcBorders>
            <w:tcMar>
              <w:left w:w="108" w:type="dxa"/>
              <w:right w:w="108" w:type="dxa"/>
            </w:tcMar>
          </w:tcPr>
          <w:p w14:paraId="7DC44F1A" w14:textId="45A7FB07" w:rsidR="2A259567" w:rsidRDefault="2A259567" w:rsidP="2A259567">
            <w:r w:rsidRPr="2A259567">
              <w:rPr>
                <w:rFonts w:ascii="Calibri" w:eastAsia="Calibri" w:hAnsi="Calibri" w:cs="Calibri"/>
                <w:color w:val="000000" w:themeColor="text1"/>
                <w:sz w:val="22"/>
                <w:szCs w:val="22"/>
              </w:rPr>
              <w:t>Robeco Green Bonds</w:t>
            </w:r>
          </w:p>
        </w:tc>
        <w:tc>
          <w:tcPr>
            <w:tcW w:w="1920" w:type="dxa"/>
            <w:tcMar>
              <w:left w:w="108" w:type="dxa"/>
              <w:right w:w="108" w:type="dxa"/>
            </w:tcMar>
          </w:tcPr>
          <w:p w14:paraId="4F1BA95A" w14:textId="37E0ACB5"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9</w:t>
            </w:r>
          </w:p>
        </w:tc>
        <w:tc>
          <w:tcPr>
            <w:tcW w:w="2121" w:type="dxa"/>
            <w:tcMar>
              <w:left w:w="108" w:type="dxa"/>
              <w:right w:w="108" w:type="dxa"/>
            </w:tcMar>
          </w:tcPr>
          <w:p w14:paraId="6188D94A" w14:textId="7A9BAC5C"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8</w:t>
            </w:r>
          </w:p>
        </w:tc>
        <w:tc>
          <w:tcPr>
            <w:tcW w:w="1750" w:type="dxa"/>
            <w:tcMar>
              <w:left w:w="108" w:type="dxa"/>
              <w:right w:w="108" w:type="dxa"/>
            </w:tcMar>
          </w:tcPr>
          <w:p w14:paraId="594304B3" w14:textId="21CC0102"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9</w:t>
            </w:r>
          </w:p>
        </w:tc>
        <w:tc>
          <w:tcPr>
            <w:tcW w:w="1458" w:type="dxa"/>
            <w:tcMar>
              <w:left w:w="108" w:type="dxa"/>
              <w:right w:w="108" w:type="dxa"/>
            </w:tcMar>
          </w:tcPr>
          <w:p w14:paraId="7E00E414" w14:textId="75C44265"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8,7</w:t>
            </w:r>
          </w:p>
        </w:tc>
      </w:tr>
      <w:tr w:rsidR="2A259567" w14:paraId="0DEB0284"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1766" w:type="dxa"/>
            <w:tcBorders>
              <w:top w:val="nil"/>
              <w:left w:val="nil"/>
              <w:bottom w:val="nil"/>
              <w:right w:val="single" w:sz="8" w:space="0" w:color="7F7F7F" w:themeColor="text1" w:themeTint="80"/>
            </w:tcBorders>
            <w:tcMar>
              <w:left w:w="108" w:type="dxa"/>
              <w:right w:w="108" w:type="dxa"/>
            </w:tcMar>
          </w:tcPr>
          <w:p w14:paraId="0A2AB699" w14:textId="4F45AB34" w:rsidR="2A259567" w:rsidRDefault="2A259567" w:rsidP="2A259567">
            <w:r w:rsidRPr="2A259567">
              <w:rPr>
                <w:rFonts w:ascii="Calibri" w:eastAsia="Calibri" w:hAnsi="Calibri" w:cs="Calibri"/>
                <w:sz w:val="22"/>
                <w:szCs w:val="22"/>
              </w:rPr>
              <w:t>ASN Energie &amp; Innovatiefonds</w:t>
            </w:r>
          </w:p>
        </w:tc>
        <w:tc>
          <w:tcPr>
            <w:tcW w:w="1920" w:type="dxa"/>
            <w:tcMar>
              <w:left w:w="108" w:type="dxa"/>
              <w:right w:w="108" w:type="dxa"/>
            </w:tcMar>
          </w:tcPr>
          <w:p w14:paraId="05D33148" w14:textId="5430CE0C"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w:t>
            </w:r>
          </w:p>
        </w:tc>
        <w:tc>
          <w:tcPr>
            <w:tcW w:w="2121" w:type="dxa"/>
            <w:tcMar>
              <w:left w:w="108" w:type="dxa"/>
              <w:right w:w="108" w:type="dxa"/>
            </w:tcMar>
          </w:tcPr>
          <w:p w14:paraId="60A2814E" w14:textId="27A93E88"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w:t>
            </w:r>
          </w:p>
        </w:tc>
        <w:tc>
          <w:tcPr>
            <w:tcW w:w="1750" w:type="dxa"/>
            <w:tcMar>
              <w:left w:w="108" w:type="dxa"/>
              <w:right w:w="108" w:type="dxa"/>
            </w:tcMar>
          </w:tcPr>
          <w:p w14:paraId="62265450" w14:textId="0C1CE37E"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w:t>
            </w:r>
          </w:p>
        </w:tc>
        <w:tc>
          <w:tcPr>
            <w:tcW w:w="1458" w:type="dxa"/>
            <w:tcMar>
              <w:left w:w="108" w:type="dxa"/>
              <w:right w:w="108" w:type="dxa"/>
            </w:tcMar>
          </w:tcPr>
          <w:p w14:paraId="1DD7297B" w14:textId="2C1FE46C"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8,0</w:t>
            </w:r>
          </w:p>
        </w:tc>
      </w:tr>
      <w:tr w:rsidR="2A259567" w14:paraId="71A6E7C4" w14:textId="77777777" w:rsidTr="2A2595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6" w:type="dxa"/>
            <w:tcBorders>
              <w:top w:val="nil"/>
              <w:left w:val="nil"/>
              <w:bottom w:val="nil"/>
              <w:right w:val="single" w:sz="8" w:space="0" w:color="7F7F7F" w:themeColor="text1" w:themeTint="80"/>
            </w:tcBorders>
            <w:tcMar>
              <w:left w:w="108" w:type="dxa"/>
              <w:right w:w="108" w:type="dxa"/>
            </w:tcMar>
          </w:tcPr>
          <w:p w14:paraId="5D0C2FBD" w14:textId="52A3C311" w:rsidR="2A259567" w:rsidRDefault="2A259567" w:rsidP="2A259567">
            <w:r w:rsidRPr="2A259567">
              <w:rPr>
                <w:rFonts w:ascii="Calibri" w:eastAsia="Calibri" w:hAnsi="Calibri" w:cs="Calibri"/>
                <w:color w:val="000000" w:themeColor="text1"/>
                <w:sz w:val="22"/>
                <w:szCs w:val="22"/>
              </w:rPr>
              <w:t>Allianz Green Bond</w:t>
            </w:r>
          </w:p>
        </w:tc>
        <w:tc>
          <w:tcPr>
            <w:tcW w:w="1920" w:type="dxa"/>
            <w:tcMar>
              <w:left w:w="108" w:type="dxa"/>
              <w:right w:w="108" w:type="dxa"/>
            </w:tcMar>
          </w:tcPr>
          <w:p w14:paraId="3B55ABEE" w14:textId="2F81CBA0"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7</w:t>
            </w:r>
          </w:p>
        </w:tc>
        <w:tc>
          <w:tcPr>
            <w:tcW w:w="2121" w:type="dxa"/>
            <w:tcMar>
              <w:left w:w="108" w:type="dxa"/>
              <w:right w:w="108" w:type="dxa"/>
            </w:tcMar>
          </w:tcPr>
          <w:p w14:paraId="4D4969B2" w14:textId="6665E9C4"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7</w:t>
            </w:r>
          </w:p>
        </w:tc>
        <w:tc>
          <w:tcPr>
            <w:tcW w:w="1750" w:type="dxa"/>
            <w:tcMar>
              <w:left w:w="108" w:type="dxa"/>
              <w:right w:w="108" w:type="dxa"/>
            </w:tcMar>
          </w:tcPr>
          <w:p w14:paraId="2D30D347" w14:textId="56A9370A"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7</w:t>
            </w:r>
          </w:p>
        </w:tc>
        <w:tc>
          <w:tcPr>
            <w:tcW w:w="1458" w:type="dxa"/>
            <w:tcMar>
              <w:left w:w="108" w:type="dxa"/>
              <w:right w:w="108" w:type="dxa"/>
            </w:tcMar>
          </w:tcPr>
          <w:p w14:paraId="7A007DA3" w14:textId="2BD4A3D7" w:rsidR="2A259567" w:rsidRDefault="2A259567" w:rsidP="2A259567">
            <w:pPr>
              <w:cnfStyle w:val="000000100000" w:firstRow="0" w:lastRow="0" w:firstColumn="0" w:lastColumn="0" w:oddVBand="0" w:evenVBand="0" w:oddHBand="1" w:evenHBand="0" w:firstRowFirstColumn="0" w:firstRowLastColumn="0" w:lastRowFirstColumn="0" w:lastRowLastColumn="0"/>
            </w:pPr>
            <w:r w:rsidRPr="2A259567">
              <w:rPr>
                <w:rFonts w:ascii="Calibri" w:eastAsia="Calibri" w:hAnsi="Calibri" w:cs="Calibri"/>
                <w:color w:val="000000" w:themeColor="text1"/>
                <w:sz w:val="22"/>
                <w:szCs w:val="22"/>
              </w:rPr>
              <w:t>7,0</w:t>
            </w:r>
          </w:p>
        </w:tc>
      </w:tr>
      <w:tr w:rsidR="2A259567" w14:paraId="5302E35E" w14:textId="77777777" w:rsidTr="2A259567">
        <w:trPr>
          <w:trHeight w:val="300"/>
        </w:trPr>
        <w:tc>
          <w:tcPr>
            <w:cnfStyle w:val="001000000000" w:firstRow="0" w:lastRow="0" w:firstColumn="1" w:lastColumn="0" w:oddVBand="0" w:evenVBand="0" w:oddHBand="0" w:evenHBand="0" w:firstRowFirstColumn="0" w:firstRowLastColumn="0" w:lastRowFirstColumn="0" w:lastRowLastColumn="0"/>
            <w:tcW w:w="1766" w:type="dxa"/>
            <w:tcBorders>
              <w:top w:val="nil"/>
              <w:left w:val="nil"/>
              <w:bottom w:val="nil"/>
              <w:right w:val="single" w:sz="8" w:space="0" w:color="7F7F7F" w:themeColor="text1" w:themeTint="80"/>
            </w:tcBorders>
            <w:tcMar>
              <w:left w:w="108" w:type="dxa"/>
              <w:right w:w="108" w:type="dxa"/>
            </w:tcMar>
          </w:tcPr>
          <w:p w14:paraId="04CFB26D" w14:textId="0676BCB8" w:rsidR="2A259567" w:rsidRDefault="2A259567" w:rsidP="2A259567">
            <w:r w:rsidRPr="2A259567">
              <w:rPr>
                <w:rFonts w:ascii="Calibri" w:eastAsia="Calibri" w:hAnsi="Calibri" w:cs="Calibri"/>
                <w:sz w:val="22"/>
                <w:szCs w:val="22"/>
              </w:rPr>
              <w:t>Allianz Climate Transition</w:t>
            </w:r>
          </w:p>
        </w:tc>
        <w:tc>
          <w:tcPr>
            <w:tcW w:w="1920" w:type="dxa"/>
            <w:tcMar>
              <w:left w:w="108" w:type="dxa"/>
              <w:right w:w="108" w:type="dxa"/>
            </w:tcMar>
          </w:tcPr>
          <w:p w14:paraId="0185F9BB" w14:textId="65BBA9FC"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w:t>
            </w:r>
          </w:p>
        </w:tc>
        <w:tc>
          <w:tcPr>
            <w:tcW w:w="2121" w:type="dxa"/>
            <w:tcMar>
              <w:left w:w="108" w:type="dxa"/>
              <w:right w:w="108" w:type="dxa"/>
            </w:tcMar>
          </w:tcPr>
          <w:p w14:paraId="7C9A30B7" w14:textId="144ABD71"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8</w:t>
            </w:r>
          </w:p>
        </w:tc>
        <w:tc>
          <w:tcPr>
            <w:tcW w:w="1750" w:type="dxa"/>
            <w:tcMar>
              <w:left w:w="108" w:type="dxa"/>
              <w:right w:w="108" w:type="dxa"/>
            </w:tcMar>
          </w:tcPr>
          <w:p w14:paraId="3F709EB3" w14:textId="16301ADB"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7</w:t>
            </w:r>
          </w:p>
        </w:tc>
        <w:tc>
          <w:tcPr>
            <w:tcW w:w="1458" w:type="dxa"/>
            <w:tcMar>
              <w:left w:w="108" w:type="dxa"/>
              <w:right w:w="108" w:type="dxa"/>
            </w:tcMar>
          </w:tcPr>
          <w:p w14:paraId="7137943C" w14:textId="7D513D12" w:rsidR="2A259567" w:rsidRDefault="2A259567" w:rsidP="2A259567">
            <w:pPr>
              <w:cnfStyle w:val="000000000000" w:firstRow="0" w:lastRow="0" w:firstColumn="0" w:lastColumn="0" w:oddVBand="0" w:evenVBand="0" w:oddHBand="0" w:evenHBand="0" w:firstRowFirstColumn="0" w:firstRowLastColumn="0" w:lastRowFirstColumn="0" w:lastRowLastColumn="0"/>
            </w:pPr>
            <w:r w:rsidRPr="2A259567">
              <w:rPr>
                <w:rFonts w:ascii="Calibri" w:eastAsia="Calibri" w:hAnsi="Calibri" w:cs="Calibri"/>
                <w:sz w:val="22"/>
                <w:szCs w:val="22"/>
              </w:rPr>
              <w:t>7,7</w:t>
            </w:r>
          </w:p>
        </w:tc>
      </w:tr>
    </w:tbl>
    <w:p w14:paraId="7DCC76CC" w14:textId="3732A4EF" w:rsidR="32F1AED3" w:rsidRDefault="32F1AED3" w:rsidP="2A259567">
      <w:pPr>
        <w:spacing w:after="0"/>
      </w:pPr>
      <w:r w:rsidRPr="2A259567">
        <w:rPr>
          <w:rFonts w:ascii="Calibri" w:eastAsia="Calibri" w:hAnsi="Calibri" w:cs="Calibri"/>
          <w:b/>
          <w:bCs/>
        </w:rPr>
        <w:t xml:space="preserve"> </w:t>
      </w:r>
    </w:p>
    <w:p w14:paraId="1EDF559F" w14:textId="6FD3BC7A" w:rsidR="32F1AED3" w:rsidRDefault="32F1AED3" w:rsidP="2A259567">
      <w:pPr>
        <w:spacing w:after="0"/>
      </w:pPr>
      <w:r w:rsidRPr="2A259567">
        <w:rPr>
          <w:rFonts w:ascii="Calibri" w:eastAsia="Calibri" w:hAnsi="Calibri" w:cs="Calibri"/>
        </w:rPr>
        <w:t>Toelichting:</w:t>
      </w:r>
    </w:p>
    <w:p w14:paraId="355E4612" w14:textId="2537049C" w:rsidR="32F1AED3" w:rsidRDefault="32F1AED3" w:rsidP="2A259567">
      <w:pPr>
        <w:pStyle w:val="ListParagraph"/>
        <w:numPr>
          <w:ilvl w:val="0"/>
          <w:numId w:val="3"/>
        </w:numPr>
        <w:spacing w:after="0"/>
        <w:rPr>
          <w:rFonts w:ascii="Calibri" w:eastAsia="Calibri" w:hAnsi="Calibri" w:cs="Calibri"/>
        </w:rPr>
      </w:pPr>
      <w:r w:rsidRPr="2A259567">
        <w:rPr>
          <w:rFonts w:ascii="Calibri" w:eastAsia="Calibri" w:hAnsi="Calibri" w:cs="Calibri"/>
        </w:rPr>
        <w:t>Robeco communiceert duidelijk en uitgebreid, met goed toegankelijke rapporten en overzichtelijke websites.</w:t>
      </w:r>
    </w:p>
    <w:p w14:paraId="5936AA47" w14:textId="0A85FE99" w:rsidR="32F1AED3" w:rsidRDefault="32F1AED3" w:rsidP="2A259567">
      <w:pPr>
        <w:pStyle w:val="ListParagraph"/>
        <w:numPr>
          <w:ilvl w:val="0"/>
          <w:numId w:val="3"/>
        </w:numPr>
        <w:spacing w:after="0"/>
        <w:rPr>
          <w:rFonts w:ascii="Calibri" w:eastAsia="Calibri" w:hAnsi="Calibri" w:cs="Calibri"/>
        </w:rPr>
      </w:pPr>
      <w:r w:rsidRPr="2A259567">
        <w:rPr>
          <w:rFonts w:ascii="Calibri" w:eastAsia="Calibri" w:hAnsi="Calibri" w:cs="Calibri"/>
        </w:rPr>
        <w:t>ASN legt duurzaamheidsinformatie helder uit met relevante taal en biedt goede toegang via hun platformen.</w:t>
      </w:r>
    </w:p>
    <w:p w14:paraId="077B73A3" w14:textId="517735CF" w:rsidR="32F1AED3" w:rsidRDefault="32F1AED3" w:rsidP="2A259567">
      <w:pPr>
        <w:pStyle w:val="ListParagraph"/>
        <w:numPr>
          <w:ilvl w:val="0"/>
          <w:numId w:val="3"/>
        </w:numPr>
        <w:spacing w:after="0"/>
        <w:rPr>
          <w:rFonts w:ascii="Calibri" w:eastAsia="Calibri" w:hAnsi="Calibri" w:cs="Calibri"/>
        </w:rPr>
      </w:pPr>
      <w:r w:rsidRPr="2A259567">
        <w:rPr>
          <w:rFonts w:ascii="Calibri" w:eastAsia="Calibri" w:hAnsi="Calibri" w:cs="Calibri"/>
        </w:rPr>
        <w:t>Allianz Green Bond is wat minder uitgebreid in communicatie en kan voor klanten iets minder toegankelijk zijn.</w:t>
      </w:r>
    </w:p>
    <w:p w14:paraId="551145EC" w14:textId="3856A931" w:rsidR="32F1AED3" w:rsidRDefault="32F1AED3" w:rsidP="2A259567">
      <w:pPr>
        <w:pStyle w:val="ListParagraph"/>
        <w:numPr>
          <w:ilvl w:val="0"/>
          <w:numId w:val="3"/>
        </w:numPr>
        <w:spacing w:after="0"/>
        <w:rPr>
          <w:rFonts w:ascii="Calibri" w:eastAsia="Calibri" w:hAnsi="Calibri" w:cs="Calibri"/>
        </w:rPr>
      </w:pPr>
      <w:r w:rsidRPr="2A259567">
        <w:rPr>
          <w:rFonts w:ascii="Calibri" w:eastAsia="Calibri" w:hAnsi="Calibri" w:cs="Calibri"/>
        </w:rPr>
        <w:t xml:space="preserve">Allianz </w:t>
      </w:r>
      <w:proofErr w:type="spellStart"/>
      <w:r w:rsidRPr="2A259567">
        <w:rPr>
          <w:rFonts w:ascii="Calibri" w:eastAsia="Calibri" w:hAnsi="Calibri" w:cs="Calibri"/>
        </w:rPr>
        <w:t>Climate</w:t>
      </w:r>
      <w:proofErr w:type="spellEnd"/>
      <w:r w:rsidRPr="2A259567">
        <w:rPr>
          <w:rFonts w:ascii="Calibri" w:eastAsia="Calibri" w:hAnsi="Calibri" w:cs="Calibri"/>
        </w:rPr>
        <w:t xml:space="preserve"> </w:t>
      </w:r>
      <w:proofErr w:type="spellStart"/>
      <w:r w:rsidRPr="2A259567">
        <w:rPr>
          <w:rFonts w:ascii="Calibri" w:eastAsia="Calibri" w:hAnsi="Calibri" w:cs="Calibri"/>
        </w:rPr>
        <w:t>Transition</w:t>
      </w:r>
      <w:proofErr w:type="spellEnd"/>
      <w:r w:rsidRPr="2A259567">
        <w:rPr>
          <w:rFonts w:ascii="Calibri" w:eastAsia="Calibri" w:hAnsi="Calibri" w:cs="Calibri"/>
        </w:rPr>
        <w:t xml:space="preserve"> communiceert helder over duurzaamheidsthema's, maar informatie is soms minder direct vindbaar voor een brede klantgroep.</w:t>
      </w:r>
    </w:p>
    <w:p w14:paraId="5BE5ECED" w14:textId="58BD7516" w:rsidR="32F1AED3" w:rsidRDefault="32F1AED3" w:rsidP="2A259567">
      <w:pPr>
        <w:spacing w:after="0"/>
      </w:pPr>
      <w:r w:rsidRPr="2A259567">
        <w:rPr>
          <w:rFonts w:ascii="Calibri" w:eastAsia="Calibri" w:hAnsi="Calibri" w:cs="Calibri"/>
        </w:rPr>
        <w:t xml:space="preserve"> </w:t>
      </w:r>
    </w:p>
    <w:p w14:paraId="5FB4556D" w14:textId="0C4A1E60" w:rsidR="32F1AED3" w:rsidRDefault="21D74ABE" w:rsidP="6D5ED2DD">
      <w:pPr>
        <w:pStyle w:val="Heading2"/>
        <w:spacing w:before="40" w:after="0"/>
        <w:rPr>
          <w:rFonts w:ascii="Calibri Light" w:eastAsia="Calibri Light" w:hAnsi="Calibri Light" w:cs="Calibri Light"/>
          <w:color w:val="2F5496"/>
          <w:sz w:val="26"/>
          <w:szCs w:val="26"/>
        </w:rPr>
      </w:pPr>
      <w:bookmarkStart w:id="43" w:name="_Toc931019285"/>
      <w:r w:rsidRPr="6D5ED2DD">
        <w:rPr>
          <w:rFonts w:ascii="Calibri Light" w:eastAsia="Calibri Light" w:hAnsi="Calibri Light" w:cs="Calibri Light"/>
          <w:color w:val="2F5496"/>
          <w:sz w:val="26"/>
          <w:szCs w:val="26"/>
        </w:rPr>
        <w:t>2.11 Conclusie</w:t>
      </w:r>
      <w:bookmarkEnd w:id="43"/>
    </w:p>
    <w:p w14:paraId="149AF510" w14:textId="1B85FFAE" w:rsidR="32F1AED3" w:rsidRDefault="32F1AED3" w:rsidP="2A259567">
      <w:pPr>
        <w:spacing w:after="0"/>
      </w:pPr>
      <w:r w:rsidRPr="6BF82FE4">
        <w:rPr>
          <w:rFonts w:ascii="Calibri" w:eastAsia="Calibri" w:hAnsi="Calibri" w:cs="Calibri"/>
        </w:rPr>
        <w:t>De beste keuze qua speciaal beleggingsfonds voor adviesbureau Generatio Capital is gevallen op Robeco Green Bonds en ASN energie &amp; innovatiefonds. Na het toetsen op verschillende vlakken opgedeeld in duurzame en niet-duurzame facturen blijkt op beide Robeco het best te scoren. Denk daarbij aan beleggingsbeleid, ESG-integratie, transparantie en communicatie naar de klanten toe. Allemaal factoren die belangrijk zijn voor ons adviesbureau en goed zouden passen bij de wensen van de klanten. Vlak achter Robeco eindigde ASN Bank met het energie &amp; innovatiefonds. Dit fonds kwam uit de beoordelingsmatrixen vaak met vergelijkbare cijfers van Robeco en is daarom een goede opvolger. Daarnaast is het fonds heel transparant waarover er geïnvesteerd wordt. Deze fondsen bieden wij beide aan onze klanten die graag extra willen investeren in duurzame bedrijven en graag een steentje bijdragen aan mens en milieu.</w:t>
      </w:r>
    </w:p>
    <w:p w14:paraId="6F6DB5F6" w14:textId="475B95C2" w:rsidR="6BF82FE4" w:rsidRDefault="6BF82FE4" w:rsidP="6BF82FE4">
      <w:pPr>
        <w:spacing w:after="0"/>
        <w:rPr>
          <w:rFonts w:ascii="Calibri" w:eastAsia="Calibri" w:hAnsi="Calibri" w:cs="Calibri"/>
        </w:rPr>
      </w:pPr>
    </w:p>
    <w:p w14:paraId="56F9A7A5" w14:textId="1E784D98" w:rsidR="32F1AED3" w:rsidRDefault="21D74ABE" w:rsidP="6D5ED2DD">
      <w:pPr>
        <w:spacing w:before="480" w:after="0" w:line="276" w:lineRule="auto"/>
        <w:rPr>
          <w:rFonts w:ascii="Calibri" w:eastAsia="Calibri" w:hAnsi="Calibri" w:cs="Calibri"/>
          <w:b/>
          <w:bCs/>
          <w:color w:val="365F91"/>
          <w:sz w:val="28"/>
          <w:szCs w:val="28"/>
        </w:rPr>
      </w:pPr>
      <w:r w:rsidRPr="6D5ED2DD">
        <w:rPr>
          <w:rFonts w:ascii="Times New Roman" w:eastAsia="Times New Roman" w:hAnsi="Times New Roman" w:cs="Times New Roman"/>
          <w:b/>
          <w:bCs/>
        </w:rPr>
        <w:t xml:space="preserve"> </w:t>
      </w:r>
      <w:r w:rsidR="2E391325" w:rsidRPr="6D5ED2DD">
        <w:rPr>
          <w:rFonts w:ascii="Calibri" w:eastAsia="Calibri" w:hAnsi="Calibri" w:cs="Calibri"/>
          <w:b/>
          <w:bCs/>
          <w:color w:val="365F91"/>
          <w:sz w:val="28"/>
          <w:szCs w:val="28"/>
        </w:rPr>
        <w:t>Analyse Vermogensbeheerders</w:t>
      </w:r>
      <w:r w:rsidR="3CEC2762" w:rsidRPr="6D5ED2DD">
        <w:rPr>
          <w:rFonts w:ascii="Calibri" w:eastAsia="Calibri" w:hAnsi="Calibri" w:cs="Calibri"/>
          <w:b/>
          <w:bCs/>
          <w:color w:val="365F91"/>
          <w:sz w:val="28"/>
          <w:szCs w:val="28"/>
        </w:rPr>
        <w:t xml:space="preserve"> Martijn Heddema</w:t>
      </w:r>
    </w:p>
    <w:p w14:paraId="6C3F2951" w14:textId="37079770" w:rsidR="32F1AED3" w:rsidRDefault="2E391325" w:rsidP="6D5ED2DD">
      <w:pPr>
        <w:pStyle w:val="Heading1"/>
        <w:spacing w:before="480" w:after="0" w:line="276" w:lineRule="auto"/>
        <w:rPr>
          <w:rFonts w:ascii="Calibri" w:eastAsia="Calibri" w:hAnsi="Calibri" w:cs="Calibri"/>
          <w:b/>
          <w:bCs/>
          <w:color w:val="365F91"/>
          <w:sz w:val="28"/>
          <w:szCs w:val="28"/>
        </w:rPr>
      </w:pPr>
      <w:bookmarkStart w:id="44" w:name="_Toc1110666890"/>
      <w:r w:rsidRPr="6D5ED2DD">
        <w:rPr>
          <w:rFonts w:ascii="Calibri" w:eastAsia="Calibri" w:hAnsi="Calibri" w:cs="Calibri"/>
          <w:b/>
          <w:bCs/>
          <w:color w:val="365F91"/>
          <w:sz w:val="28"/>
          <w:szCs w:val="28"/>
        </w:rPr>
        <w:t>Cri</w:t>
      </w:r>
      <w:r w:rsidR="4EC3C9F6" w:rsidRPr="6D5ED2DD">
        <w:rPr>
          <w:rFonts w:ascii="Calibri" w:eastAsia="Calibri" w:hAnsi="Calibri" w:cs="Calibri"/>
          <w:b/>
          <w:bCs/>
          <w:color w:val="365F91"/>
          <w:sz w:val="28"/>
          <w:szCs w:val="28"/>
        </w:rPr>
        <w:t>teria</w:t>
      </w:r>
      <w:bookmarkEnd w:id="44"/>
    </w:p>
    <w:p w14:paraId="251698CF" w14:textId="3D82E38F" w:rsidR="32F1AED3" w:rsidRDefault="2E391325" w:rsidP="6D5ED2DD">
      <w:pPr>
        <w:spacing w:after="200" w:line="276" w:lineRule="auto"/>
      </w:pPr>
      <w:r w:rsidRPr="6D5ED2DD">
        <w:rPr>
          <w:rFonts w:ascii="Cambria" w:eastAsia="Cambria" w:hAnsi="Cambria" w:cs="Cambria"/>
          <w:sz w:val="22"/>
          <w:szCs w:val="22"/>
        </w:rPr>
        <w:t xml:space="preserve">Op welke manier hebben wij gekeken naar de criteria? Bij duurzaamheid hebben we gekeken naar waar de bedrijven in beleggen en waarom. Dit is vaak te vinden onder een kopje als ‘waarom wij’ of in een duurzaamheidspositionering. We kijken ook naar de manier van schrijven en verkopen van deze bedrijven. Een bedrijf kan wel zeggen dat ze duurzaam zijn, maar is dat dan ook wel zo? Voor governance kijken we naar de communicatie met de klant, en hoe transparant deze is. Denk hierbij aan jaarverslagen en manieren van klantcontact. Ook kijken we dan naar de manier waarop dingen geformuleerd zijn. Denk bij ‘dingen’ aan of verliezen wel eerlijk worden vermeldt bijvoorbeeld. Bij Bad Press kijken wij naar op welke manier de bedrijven in het nieuws zijn gekomen en ook vooral of dit dan direct effect heeft gehad op de reputatie van het bedrijf. Bij bad press kijken wij ook naar of het de tak van het beleggen wel wordt aangeraakt en het niet alleen het moederbedrijf is in het geval; van ING beleggen bijvoorbeeld. Dan focussen wij op het beleggingsfonds van ING, niet op ING zelf. </w:t>
      </w:r>
    </w:p>
    <w:p w14:paraId="59943B63" w14:textId="2F381590" w:rsidR="32F1AED3" w:rsidRDefault="2E391325" w:rsidP="6D5ED2DD">
      <w:pPr>
        <w:rPr>
          <w:rFonts w:ascii="Calibri" w:eastAsia="Calibri" w:hAnsi="Calibri" w:cs="Calibri"/>
          <w:b/>
          <w:bCs/>
          <w:color w:val="365F91"/>
          <w:sz w:val="28"/>
          <w:szCs w:val="28"/>
        </w:rPr>
      </w:pPr>
      <w:bookmarkStart w:id="45" w:name="_Toc1630859798"/>
      <w:r w:rsidRPr="6D5ED2DD">
        <w:t>Analyse Vermogensbeheerders op Duurzaamheid, Governance en Reputatie</w:t>
      </w:r>
      <w:bookmarkEnd w:id="45"/>
    </w:p>
    <w:p w14:paraId="69A677DB" w14:textId="33ADF967" w:rsidR="32F1AED3" w:rsidRDefault="2E391325" w:rsidP="6D5ED2DD">
      <w:pPr>
        <w:spacing w:after="200" w:line="276" w:lineRule="auto"/>
      </w:pPr>
      <w:r w:rsidRPr="6D5ED2DD">
        <w:rPr>
          <w:rFonts w:ascii="Cambria" w:eastAsia="Cambria" w:hAnsi="Cambria" w:cs="Cambria"/>
          <w:sz w:val="22"/>
          <w:szCs w:val="22"/>
          <w:lang w:val="en-US"/>
        </w:rPr>
        <w:t>Bedrijven: BNP Paribas Asset Management, Robeco, UBS Asset Management, Candriam</w:t>
      </w:r>
    </w:p>
    <w:p w14:paraId="10621751" w14:textId="6BF91493" w:rsidR="32F1AED3" w:rsidRDefault="2E391325" w:rsidP="6D5ED2DD">
      <w:pPr>
        <w:spacing w:after="200" w:line="276" w:lineRule="auto"/>
      </w:pPr>
      <w:r w:rsidRPr="6D5ED2DD">
        <w:rPr>
          <w:rFonts w:ascii="Cambria" w:eastAsia="Cambria" w:hAnsi="Cambria" w:cs="Cambria"/>
          <w:sz w:val="22"/>
          <w:szCs w:val="22"/>
        </w:rPr>
        <w:t>Deze analyse vergelijkt vier grote vermogensbeheerders op de thema’s duurzaamheid, governance en reputatie. De beoordeling is gebaseerd op openbaar beschikbare informatie, ESG-rapportages en onafhankelijke nieuwsbronnen.</w:t>
      </w:r>
    </w:p>
    <w:p w14:paraId="67E4C831" w14:textId="5C8F986E" w:rsidR="32F1AED3" w:rsidRDefault="2E391325" w:rsidP="6D5ED2DD">
      <w:pPr>
        <w:pStyle w:val="Heading2"/>
        <w:spacing w:before="200" w:after="0" w:line="276" w:lineRule="auto"/>
        <w:rPr>
          <w:rFonts w:ascii="Calibri" w:eastAsia="Calibri" w:hAnsi="Calibri" w:cs="Calibri"/>
          <w:b/>
          <w:bCs/>
          <w:color w:val="4F81BD"/>
          <w:sz w:val="26"/>
          <w:szCs w:val="26"/>
          <w:lang w:val="en-US"/>
        </w:rPr>
      </w:pPr>
      <w:bookmarkStart w:id="46" w:name="_Toc1571018983"/>
      <w:r w:rsidRPr="6D5ED2DD">
        <w:rPr>
          <w:rFonts w:ascii="Calibri" w:eastAsia="Calibri" w:hAnsi="Calibri" w:cs="Calibri"/>
          <w:b/>
          <w:bCs/>
          <w:color w:val="4F81BD"/>
          <w:sz w:val="26"/>
          <w:szCs w:val="26"/>
          <w:lang w:val="en-US"/>
        </w:rPr>
        <w:t>1. Algemene bedrijfsinformatie</w:t>
      </w:r>
      <w:bookmarkEnd w:id="46"/>
    </w:p>
    <w:tbl>
      <w:tblPr>
        <w:tblW w:w="0" w:type="auto"/>
        <w:tblLook w:val="04A0" w:firstRow="1" w:lastRow="0" w:firstColumn="1" w:lastColumn="0" w:noHBand="0" w:noVBand="1"/>
      </w:tblPr>
      <w:tblGrid>
        <w:gridCol w:w="1728"/>
        <w:gridCol w:w="1728"/>
        <w:gridCol w:w="1728"/>
        <w:gridCol w:w="1728"/>
        <w:gridCol w:w="1728"/>
      </w:tblGrid>
      <w:tr w:rsidR="6D5ED2DD" w14:paraId="29438E45" w14:textId="77777777" w:rsidTr="6D5ED2DD">
        <w:trPr>
          <w:trHeight w:val="300"/>
        </w:trPr>
        <w:tc>
          <w:tcPr>
            <w:tcW w:w="1728" w:type="dxa"/>
            <w:tcMar>
              <w:left w:w="108" w:type="dxa"/>
              <w:right w:w="108" w:type="dxa"/>
            </w:tcMar>
          </w:tcPr>
          <w:p w14:paraId="71954C9C" w14:textId="0D51CE00" w:rsidR="6D5ED2DD" w:rsidRDefault="6D5ED2DD" w:rsidP="6D5ED2DD">
            <w:pPr>
              <w:spacing w:after="200" w:line="276" w:lineRule="auto"/>
            </w:pPr>
            <w:r w:rsidRPr="6D5ED2DD">
              <w:rPr>
                <w:rFonts w:ascii="Cambria" w:eastAsia="Cambria" w:hAnsi="Cambria" w:cs="Cambria"/>
                <w:sz w:val="22"/>
                <w:szCs w:val="22"/>
                <w:lang w:val="en-US"/>
              </w:rPr>
              <w:t>Bedrijf</w:t>
            </w:r>
          </w:p>
        </w:tc>
        <w:tc>
          <w:tcPr>
            <w:tcW w:w="1728" w:type="dxa"/>
            <w:tcMar>
              <w:left w:w="108" w:type="dxa"/>
              <w:right w:w="108" w:type="dxa"/>
            </w:tcMar>
          </w:tcPr>
          <w:p w14:paraId="78C4286D" w14:textId="3147F40F" w:rsidR="6D5ED2DD" w:rsidRDefault="6D5ED2DD" w:rsidP="6D5ED2DD">
            <w:pPr>
              <w:spacing w:after="200" w:line="276" w:lineRule="auto"/>
            </w:pPr>
            <w:r w:rsidRPr="6D5ED2DD">
              <w:rPr>
                <w:rFonts w:ascii="Cambria" w:eastAsia="Cambria" w:hAnsi="Cambria" w:cs="Cambria"/>
                <w:sz w:val="22"/>
                <w:szCs w:val="22"/>
                <w:lang w:val="en-US"/>
              </w:rPr>
              <w:t>Land / Regio</w:t>
            </w:r>
          </w:p>
        </w:tc>
        <w:tc>
          <w:tcPr>
            <w:tcW w:w="1728" w:type="dxa"/>
            <w:tcMar>
              <w:left w:w="108" w:type="dxa"/>
              <w:right w:w="108" w:type="dxa"/>
            </w:tcMar>
          </w:tcPr>
          <w:p w14:paraId="0F6DB7F8" w14:textId="1A8212DC" w:rsidR="6D5ED2DD" w:rsidRDefault="6D5ED2DD" w:rsidP="6D5ED2DD">
            <w:pPr>
              <w:spacing w:after="200" w:line="276" w:lineRule="auto"/>
            </w:pPr>
            <w:r w:rsidRPr="6D5ED2DD">
              <w:rPr>
                <w:rFonts w:ascii="Cambria" w:eastAsia="Cambria" w:hAnsi="Cambria" w:cs="Cambria"/>
                <w:sz w:val="22"/>
                <w:szCs w:val="22"/>
                <w:lang w:val="en-US"/>
              </w:rPr>
              <w:t>AUM / Omvang</w:t>
            </w:r>
          </w:p>
        </w:tc>
        <w:tc>
          <w:tcPr>
            <w:tcW w:w="1728" w:type="dxa"/>
            <w:tcMar>
              <w:left w:w="108" w:type="dxa"/>
              <w:right w:w="108" w:type="dxa"/>
            </w:tcMar>
          </w:tcPr>
          <w:p w14:paraId="7397361F" w14:textId="31E6B328" w:rsidR="6D5ED2DD" w:rsidRDefault="6D5ED2DD" w:rsidP="6D5ED2DD">
            <w:pPr>
              <w:spacing w:after="200" w:line="276" w:lineRule="auto"/>
            </w:pPr>
            <w:r w:rsidRPr="6D5ED2DD">
              <w:rPr>
                <w:rFonts w:ascii="Cambria" w:eastAsia="Cambria" w:hAnsi="Cambria" w:cs="Cambria"/>
                <w:sz w:val="22"/>
                <w:szCs w:val="22"/>
                <w:lang w:val="en-US"/>
              </w:rPr>
              <w:t>Type beheer</w:t>
            </w:r>
          </w:p>
        </w:tc>
        <w:tc>
          <w:tcPr>
            <w:tcW w:w="1728" w:type="dxa"/>
            <w:tcMar>
              <w:left w:w="108" w:type="dxa"/>
              <w:right w:w="108" w:type="dxa"/>
            </w:tcMar>
          </w:tcPr>
          <w:p w14:paraId="2650446A" w14:textId="527C3DD4" w:rsidR="6D5ED2DD" w:rsidRDefault="6D5ED2DD" w:rsidP="6D5ED2DD">
            <w:pPr>
              <w:spacing w:after="200" w:line="276" w:lineRule="auto"/>
            </w:pPr>
            <w:r w:rsidRPr="6D5ED2DD">
              <w:rPr>
                <w:rFonts w:ascii="Cambria" w:eastAsia="Cambria" w:hAnsi="Cambria" w:cs="Cambria"/>
                <w:sz w:val="22"/>
                <w:szCs w:val="22"/>
                <w:lang w:val="en-US"/>
              </w:rPr>
              <w:t>Doelgroep</w:t>
            </w:r>
          </w:p>
        </w:tc>
      </w:tr>
      <w:tr w:rsidR="6D5ED2DD" w14:paraId="1A1254E0" w14:textId="77777777" w:rsidTr="6D5ED2DD">
        <w:trPr>
          <w:trHeight w:val="300"/>
        </w:trPr>
        <w:tc>
          <w:tcPr>
            <w:tcW w:w="1728" w:type="dxa"/>
            <w:tcMar>
              <w:left w:w="108" w:type="dxa"/>
              <w:right w:w="108" w:type="dxa"/>
            </w:tcMar>
          </w:tcPr>
          <w:p w14:paraId="600296F6" w14:textId="315E66DC" w:rsidR="6D5ED2DD" w:rsidRDefault="6D5ED2DD" w:rsidP="6D5ED2DD">
            <w:pPr>
              <w:spacing w:after="200" w:line="276" w:lineRule="auto"/>
            </w:pPr>
            <w:r w:rsidRPr="6D5ED2DD">
              <w:rPr>
                <w:rFonts w:ascii="Cambria" w:eastAsia="Cambria" w:hAnsi="Cambria" w:cs="Cambria"/>
                <w:sz w:val="22"/>
                <w:szCs w:val="22"/>
                <w:lang w:val="en-US"/>
              </w:rPr>
              <w:t>BNP Paribas Asset Management</w:t>
            </w:r>
          </w:p>
        </w:tc>
        <w:tc>
          <w:tcPr>
            <w:tcW w:w="1728" w:type="dxa"/>
            <w:tcMar>
              <w:left w:w="108" w:type="dxa"/>
              <w:right w:w="108" w:type="dxa"/>
            </w:tcMar>
          </w:tcPr>
          <w:p w14:paraId="45D65B3C" w14:textId="3C910CEC" w:rsidR="6D5ED2DD" w:rsidRDefault="6D5ED2DD" w:rsidP="6D5ED2DD">
            <w:pPr>
              <w:spacing w:after="200" w:line="276" w:lineRule="auto"/>
            </w:pPr>
            <w:r w:rsidRPr="6D5ED2DD">
              <w:rPr>
                <w:rFonts w:ascii="Cambria" w:eastAsia="Cambria" w:hAnsi="Cambria" w:cs="Cambria"/>
                <w:sz w:val="22"/>
                <w:szCs w:val="22"/>
                <w:lang w:val="en-US"/>
              </w:rPr>
              <w:t>Frankrijk / internationaal</w:t>
            </w:r>
          </w:p>
        </w:tc>
        <w:tc>
          <w:tcPr>
            <w:tcW w:w="1728" w:type="dxa"/>
            <w:tcMar>
              <w:left w:w="108" w:type="dxa"/>
              <w:right w:w="108" w:type="dxa"/>
            </w:tcMar>
          </w:tcPr>
          <w:p w14:paraId="7C673113" w14:textId="6D81E7E8" w:rsidR="6D5ED2DD" w:rsidRDefault="6D5ED2DD" w:rsidP="6D5ED2DD">
            <w:pPr>
              <w:spacing w:after="200" w:line="276" w:lineRule="auto"/>
            </w:pPr>
            <w:r w:rsidRPr="6D5ED2DD">
              <w:rPr>
                <w:rFonts w:ascii="Cambria" w:eastAsia="Cambria" w:hAnsi="Cambria" w:cs="Cambria"/>
                <w:sz w:val="22"/>
                <w:szCs w:val="22"/>
                <w:lang w:val="en-US"/>
              </w:rPr>
              <w:t>&gt; €500 mrd; 90 % fondsen onder SFDR 8/9</w:t>
            </w:r>
          </w:p>
        </w:tc>
        <w:tc>
          <w:tcPr>
            <w:tcW w:w="1728" w:type="dxa"/>
            <w:tcMar>
              <w:left w:w="108" w:type="dxa"/>
              <w:right w:w="108" w:type="dxa"/>
            </w:tcMar>
          </w:tcPr>
          <w:p w14:paraId="6766FC80" w14:textId="286B8B06" w:rsidR="6D5ED2DD" w:rsidRDefault="6D5ED2DD" w:rsidP="6D5ED2DD">
            <w:pPr>
              <w:spacing w:after="200" w:line="276" w:lineRule="auto"/>
            </w:pPr>
            <w:r w:rsidRPr="6D5ED2DD">
              <w:rPr>
                <w:rFonts w:ascii="Cambria" w:eastAsia="Cambria" w:hAnsi="Cambria" w:cs="Cambria"/>
                <w:sz w:val="22"/>
                <w:szCs w:val="22"/>
              </w:rPr>
              <w:t>Actief multi-asset ESG-beheer</w:t>
            </w:r>
          </w:p>
        </w:tc>
        <w:tc>
          <w:tcPr>
            <w:tcW w:w="1728" w:type="dxa"/>
            <w:tcMar>
              <w:left w:w="108" w:type="dxa"/>
              <w:right w:w="108" w:type="dxa"/>
            </w:tcMar>
          </w:tcPr>
          <w:p w14:paraId="18EC40FC" w14:textId="3DAC09BB" w:rsidR="6D5ED2DD" w:rsidRDefault="6D5ED2DD" w:rsidP="6D5ED2DD">
            <w:pPr>
              <w:spacing w:after="200" w:line="276" w:lineRule="auto"/>
            </w:pPr>
            <w:r w:rsidRPr="6D5ED2DD">
              <w:rPr>
                <w:rFonts w:ascii="Cambria" w:eastAsia="Cambria" w:hAnsi="Cambria" w:cs="Cambria"/>
                <w:sz w:val="22"/>
                <w:szCs w:val="22"/>
                <w:lang w:val="en-US"/>
              </w:rPr>
              <w:t>Institutioneel &amp; retail</w:t>
            </w:r>
          </w:p>
        </w:tc>
      </w:tr>
      <w:tr w:rsidR="6D5ED2DD" w14:paraId="11801C46" w14:textId="77777777" w:rsidTr="6D5ED2DD">
        <w:trPr>
          <w:trHeight w:val="300"/>
        </w:trPr>
        <w:tc>
          <w:tcPr>
            <w:tcW w:w="1728" w:type="dxa"/>
            <w:tcMar>
              <w:left w:w="108" w:type="dxa"/>
              <w:right w:w="108" w:type="dxa"/>
            </w:tcMar>
          </w:tcPr>
          <w:p w14:paraId="1E20C4D7" w14:textId="1994D2FA" w:rsidR="6D5ED2DD" w:rsidRDefault="6D5ED2DD" w:rsidP="6D5ED2DD">
            <w:pPr>
              <w:spacing w:after="200" w:line="276" w:lineRule="auto"/>
            </w:pPr>
            <w:r w:rsidRPr="6D5ED2DD">
              <w:rPr>
                <w:rFonts w:ascii="Cambria" w:eastAsia="Cambria" w:hAnsi="Cambria" w:cs="Cambria"/>
                <w:sz w:val="22"/>
                <w:szCs w:val="22"/>
                <w:lang w:val="en-US"/>
              </w:rPr>
              <w:t>Robeco</w:t>
            </w:r>
          </w:p>
        </w:tc>
        <w:tc>
          <w:tcPr>
            <w:tcW w:w="1728" w:type="dxa"/>
            <w:tcMar>
              <w:left w:w="108" w:type="dxa"/>
              <w:right w:w="108" w:type="dxa"/>
            </w:tcMar>
          </w:tcPr>
          <w:p w14:paraId="2E8447B4" w14:textId="116CEEA4" w:rsidR="6D5ED2DD" w:rsidRDefault="6D5ED2DD" w:rsidP="6D5ED2DD">
            <w:pPr>
              <w:spacing w:after="200" w:line="276" w:lineRule="auto"/>
            </w:pPr>
            <w:r w:rsidRPr="6D5ED2DD">
              <w:rPr>
                <w:rFonts w:ascii="Cambria" w:eastAsia="Cambria" w:hAnsi="Cambria" w:cs="Cambria"/>
                <w:sz w:val="22"/>
                <w:szCs w:val="22"/>
                <w:lang w:val="en-US"/>
              </w:rPr>
              <w:t>Nederland / internationaal</w:t>
            </w:r>
          </w:p>
        </w:tc>
        <w:tc>
          <w:tcPr>
            <w:tcW w:w="1728" w:type="dxa"/>
            <w:tcMar>
              <w:left w:w="108" w:type="dxa"/>
              <w:right w:w="108" w:type="dxa"/>
            </w:tcMar>
          </w:tcPr>
          <w:p w14:paraId="459493CD" w14:textId="1AC0A8CF" w:rsidR="6D5ED2DD" w:rsidRDefault="6D5ED2DD" w:rsidP="6D5ED2DD">
            <w:pPr>
              <w:spacing w:after="200" w:line="276" w:lineRule="auto"/>
            </w:pPr>
            <w:r w:rsidRPr="6D5ED2DD">
              <w:rPr>
                <w:rFonts w:ascii="Cambria" w:eastAsia="Cambria" w:hAnsi="Cambria" w:cs="Cambria"/>
                <w:sz w:val="22"/>
                <w:szCs w:val="22"/>
                <w:lang w:val="en-US"/>
              </w:rPr>
              <w:t>&gt; €200 mrd AUM (2021)</w:t>
            </w:r>
          </w:p>
        </w:tc>
        <w:tc>
          <w:tcPr>
            <w:tcW w:w="1728" w:type="dxa"/>
            <w:tcMar>
              <w:left w:w="108" w:type="dxa"/>
              <w:right w:w="108" w:type="dxa"/>
            </w:tcMar>
          </w:tcPr>
          <w:p w14:paraId="13E9795B" w14:textId="4CD1AD26" w:rsidR="6D5ED2DD" w:rsidRDefault="6D5ED2DD" w:rsidP="6D5ED2DD">
            <w:pPr>
              <w:spacing w:after="200" w:line="276" w:lineRule="auto"/>
            </w:pPr>
            <w:r w:rsidRPr="6D5ED2DD">
              <w:rPr>
                <w:rFonts w:ascii="Cambria" w:eastAsia="Cambria" w:hAnsi="Cambria" w:cs="Cambria"/>
                <w:sz w:val="22"/>
                <w:szCs w:val="22"/>
              </w:rPr>
              <w:t>Actief duurzaam beleggen, ESG-integratie</w:t>
            </w:r>
          </w:p>
        </w:tc>
        <w:tc>
          <w:tcPr>
            <w:tcW w:w="1728" w:type="dxa"/>
            <w:tcMar>
              <w:left w:w="108" w:type="dxa"/>
              <w:right w:w="108" w:type="dxa"/>
            </w:tcMar>
          </w:tcPr>
          <w:p w14:paraId="0E9E78DB" w14:textId="0F57470A" w:rsidR="6D5ED2DD" w:rsidRDefault="6D5ED2DD" w:rsidP="6D5ED2DD">
            <w:pPr>
              <w:spacing w:after="200" w:line="276" w:lineRule="auto"/>
            </w:pPr>
            <w:r w:rsidRPr="6D5ED2DD">
              <w:rPr>
                <w:rFonts w:ascii="Cambria" w:eastAsia="Cambria" w:hAnsi="Cambria" w:cs="Cambria"/>
                <w:sz w:val="22"/>
                <w:szCs w:val="22"/>
                <w:lang w:val="en-US"/>
              </w:rPr>
              <w:t>Institutioneel &amp; particulier</w:t>
            </w:r>
          </w:p>
        </w:tc>
      </w:tr>
      <w:tr w:rsidR="6D5ED2DD" w14:paraId="3BDB7C61" w14:textId="77777777" w:rsidTr="6D5ED2DD">
        <w:trPr>
          <w:trHeight w:val="300"/>
        </w:trPr>
        <w:tc>
          <w:tcPr>
            <w:tcW w:w="1728" w:type="dxa"/>
            <w:tcMar>
              <w:left w:w="108" w:type="dxa"/>
              <w:right w:w="108" w:type="dxa"/>
            </w:tcMar>
          </w:tcPr>
          <w:p w14:paraId="59179EFD" w14:textId="235CB7CC" w:rsidR="6D5ED2DD" w:rsidRDefault="6D5ED2DD" w:rsidP="6D5ED2DD">
            <w:pPr>
              <w:spacing w:after="200" w:line="276" w:lineRule="auto"/>
            </w:pPr>
            <w:r w:rsidRPr="6D5ED2DD">
              <w:rPr>
                <w:rFonts w:ascii="Cambria" w:eastAsia="Cambria" w:hAnsi="Cambria" w:cs="Cambria"/>
                <w:sz w:val="22"/>
                <w:szCs w:val="22"/>
                <w:lang w:val="en-US"/>
              </w:rPr>
              <w:t>UBS Asset Management</w:t>
            </w:r>
          </w:p>
        </w:tc>
        <w:tc>
          <w:tcPr>
            <w:tcW w:w="1728" w:type="dxa"/>
            <w:tcMar>
              <w:left w:w="108" w:type="dxa"/>
              <w:right w:w="108" w:type="dxa"/>
            </w:tcMar>
          </w:tcPr>
          <w:p w14:paraId="7960E511" w14:textId="133091DE" w:rsidR="6D5ED2DD" w:rsidRDefault="6D5ED2DD" w:rsidP="6D5ED2DD">
            <w:pPr>
              <w:spacing w:after="200" w:line="276" w:lineRule="auto"/>
            </w:pPr>
            <w:r w:rsidRPr="6D5ED2DD">
              <w:rPr>
                <w:rFonts w:ascii="Cambria" w:eastAsia="Cambria" w:hAnsi="Cambria" w:cs="Cambria"/>
                <w:sz w:val="22"/>
                <w:szCs w:val="22"/>
                <w:lang w:val="en-US"/>
              </w:rPr>
              <w:t>Zwitserland / internationaal</w:t>
            </w:r>
          </w:p>
        </w:tc>
        <w:tc>
          <w:tcPr>
            <w:tcW w:w="1728" w:type="dxa"/>
            <w:tcMar>
              <w:left w:w="108" w:type="dxa"/>
              <w:right w:w="108" w:type="dxa"/>
            </w:tcMar>
          </w:tcPr>
          <w:p w14:paraId="2CFC6BC6" w14:textId="4142C379" w:rsidR="6D5ED2DD" w:rsidRDefault="6D5ED2DD" w:rsidP="6D5ED2DD">
            <w:pPr>
              <w:spacing w:after="200" w:line="276" w:lineRule="auto"/>
            </w:pPr>
            <w:r w:rsidRPr="6D5ED2DD">
              <w:rPr>
                <w:rFonts w:ascii="Cambria" w:eastAsia="Cambria" w:hAnsi="Cambria" w:cs="Cambria"/>
                <w:sz w:val="22"/>
                <w:szCs w:val="22"/>
                <w:lang w:val="en-US"/>
              </w:rPr>
              <w:t>&gt; €1 000 mrd AUM</w:t>
            </w:r>
          </w:p>
        </w:tc>
        <w:tc>
          <w:tcPr>
            <w:tcW w:w="1728" w:type="dxa"/>
            <w:tcMar>
              <w:left w:w="108" w:type="dxa"/>
              <w:right w:w="108" w:type="dxa"/>
            </w:tcMar>
          </w:tcPr>
          <w:p w14:paraId="1F123022" w14:textId="15A20CCE" w:rsidR="6D5ED2DD" w:rsidRDefault="6D5ED2DD" w:rsidP="6D5ED2DD">
            <w:pPr>
              <w:spacing w:after="200" w:line="276" w:lineRule="auto"/>
            </w:pPr>
            <w:r w:rsidRPr="6D5ED2DD">
              <w:rPr>
                <w:rFonts w:ascii="Cambria" w:eastAsia="Cambria" w:hAnsi="Cambria" w:cs="Cambria"/>
                <w:sz w:val="22"/>
                <w:szCs w:val="22"/>
              </w:rPr>
              <w:t>Actief multi-asset, inclusief ESG-strategieën</w:t>
            </w:r>
          </w:p>
        </w:tc>
        <w:tc>
          <w:tcPr>
            <w:tcW w:w="1728" w:type="dxa"/>
            <w:tcMar>
              <w:left w:w="108" w:type="dxa"/>
              <w:right w:w="108" w:type="dxa"/>
            </w:tcMar>
          </w:tcPr>
          <w:p w14:paraId="76BDCE15" w14:textId="38D389D4" w:rsidR="6D5ED2DD" w:rsidRDefault="6D5ED2DD" w:rsidP="6D5ED2DD">
            <w:pPr>
              <w:spacing w:after="200" w:line="276" w:lineRule="auto"/>
            </w:pPr>
            <w:r w:rsidRPr="6D5ED2DD">
              <w:rPr>
                <w:rFonts w:ascii="Cambria" w:eastAsia="Cambria" w:hAnsi="Cambria" w:cs="Cambria"/>
                <w:sz w:val="22"/>
                <w:szCs w:val="22"/>
                <w:lang w:val="en-US"/>
              </w:rPr>
              <w:t>Institutioneel &amp; vermogend particulier</w:t>
            </w:r>
          </w:p>
        </w:tc>
      </w:tr>
      <w:tr w:rsidR="6D5ED2DD" w14:paraId="035AD552" w14:textId="77777777" w:rsidTr="6D5ED2DD">
        <w:trPr>
          <w:trHeight w:val="300"/>
        </w:trPr>
        <w:tc>
          <w:tcPr>
            <w:tcW w:w="1728" w:type="dxa"/>
            <w:tcMar>
              <w:left w:w="108" w:type="dxa"/>
              <w:right w:w="108" w:type="dxa"/>
            </w:tcMar>
          </w:tcPr>
          <w:p w14:paraId="6E221FDF" w14:textId="482EB0C2" w:rsidR="6D5ED2DD" w:rsidRDefault="6D5ED2DD" w:rsidP="6D5ED2DD">
            <w:pPr>
              <w:spacing w:after="200" w:line="276" w:lineRule="auto"/>
            </w:pPr>
            <w:r w:rsidRPr="6D5ED2DD">
              <w:rPr>
                <w:rFonts w:ascii="Cambria" w:eastAsia="Cambria" w:hAnsi="Cambria" w:cs="Cambria"/>
                <w:sz w:val="22"/>
                <w:szCs w:val="22"/>
                <w:lang w:val="en-US"/>
              </w:rPr>
              <w:t>Candriam</w:t>
            </w:r>
          </w:p>
        </w:tc>
        <w:tc>
          <w:tcPr>
            <w:tcW w:w="1728" w:type="dxa"/>
            <w:tcMar>
              <w:left w:w="108" w:type="dxa"/>
              <w:right w:w="108" w:type="dxa"/>
            </w:tcMar>
          </w:tcPr>
          <w:p w14:paraId="3B8977E8" w14:textId="765ED006" w:rsidR="6D5ED2DD" w:rsidRDefault="6D5ED2DD" w:rsidP="6D5ED2DD">
            <w:pPr>
              <w:spacing w:after="200" w:line="276" w:lineRule="auto"/>
            </w:pPr>
            <w:r w:rsidRPr="6D5ED2DD">
              <w:rPr>
                <w:rFonts w:ascii="Cambria" w:eastAsia="Cambria" w:hAnsi="Cambria" w:cs="Cambria"/>
                <w:sz w:val="22"/>
                <w:szCs w:val="22"/>
                <w:lang w:val="en-US"/>
              </w:rPr>
              <w:t>Luxemburg / Europa</w:t>
            </w:r>
          </w:p>
        </w:tc>
        <w:tc>
          <w:tcPr>
            <w:tcW w:w="1728" w:type="dxa"/>
            <w:tcMar>
              <w:left w:w="108" w:type="dxa"/>
              <w:right w:w="108" w:type="dxa"/>
            </w:tcMar>
          </w:tcPr>
          <w:p w14:paraId="74B9C09E" w14:textId="1A63A72C" w:rsidR="6D5ED2DD" w:rsidRDefault="6D5ED2DD" w:rsidP="6D5ED2DD">
            <w:pPr>
              <w:spacing w:after="200" w:line="276" w:lineRule="auto"/>
            </w:pPr>
            <w:r w:rsidRPr="6D5ED2DD">
              <w:rPr>
                <w:rFonts w:ascii="Cambria" w:eastAsia="Cambria" w:hAnsi="Cambria" w:cs="Cambria"/>
                <w:sz w:val="22"/>
                <w:szCs w:val="22"/>
                <w:lang w:val="en-US"/>
              </w:rPr>
              <w:t>± €150 mrd AUM</w:t>
            </w:r>
          </w:p>
        </w:tc>
        <w:tc>
          <w:tcPr>
            <w:tcW w:w="1728" w:type="dxa"/>
            <w:tcMar>
              <w:left w:w="108" w:type="dxa"/>
              <w:right w:w="108" w:type="dxa"/>
            </w:tcMar>
          </w:tcPr>
          <w:p w14:paraId="4770209A" w14:textId="05245BA2" w:rsidR="6D5ED2DD" w:rsidRDefault="6D5ED2DD" w:rsidP="6D5ED2DD">
            <w:pPr>
              <w:spacing w:after="200" w:line="276" w:lineRule="auto"/>
            </w:pPr>
            <w:r w:rsidRPr="6D5ED2DD">
              <w:rPr>
                <w:rFonts w:ascii="Cambria" w:eastAsia="Cambria" w:hAnsi="Cambria" w:cs="Cambria"/>
                <w:sz w:val="22"/>
                <w:szCs w:val="22"/>
                <w:lang w:val="en-US"/>
              </w:rPr>
              <w:t>ESG- en impactbeleggen</w:t>
            </w:r>
          </w:p>
        </w:tc>
        <w:tc>
          <w:tcPr>
            <w:tcW w:w="1728" w:type="dxa"/>
            <w:tcMar>
              <w:left w:w="108" w:type="dxa"/>
              <w:right w:w="108" w:type="dxa"/>
            </w:tcMar>
          </w:tcPr>
          <w:p w14:paraId="3111636B" w14:textId="5D49C79C" w:rsidR="6D5ED2DD" w:rsidRDefault="6D5ED2DD" w:rsidP="6D5ED2DD">
            <w:pPr>
              <w:spacing w:after="200" w:line="276" w:lineRule="auto"/>
            </w:pPr>
            <w:r w:rsidRPr="6D5ED2DD">
              <w:rPr>
                <w:rFonts w:ascii="Cambria" w:eastAsia="Cambria" w:hAnsi="Cambria" w:cs="Cambria"/>
                <w:sz w:val="22"/>
                <w:szCs w:val="22"/>
                <w:lang w:val="en-US"/>
              </w:rPr>
              <w:t>Institutioneel &amp; retail</w:t>
            </w:r>
          </w:p>
        </w:tc>
      </w:tr>
    </w:tbl>
    <w:p w14:paraId="6E9AA54E" w14:textId="15DC004E" w:rsidR="32F1AED3" w:rsidRDefault="2E391325" w:rsidP="6D5ED2DD">
      <w:pPr>
        <w:pStyle w:val="Heading2"/>
        <w:spacing w:before="200" w:after="0" w:line="276" w:lineRule="auto"/>
        <w:rPr>
          <w:rFonts w:ascii="Calibri" w:eastAsia="Calibri" w:hAnsi="Calibri" w:cs="Calibri"/>
          <w:b/>
          <w:bCs/>
          <w:color w:val="4F81BD"/>
          <w:sz w:val="26"/>
          <w:szCs w:val="26"/>
          <w:lang w:val="en-US"/>
        </w:rPr>
      </w:pPr>
      <w:bookmarkStart w:id="47" w:name="_Toc1930431705"/>
      <w:r w:rsidRPr="6D5ED2DD">
        <w:rPr>
          <w:rFonts w:ascii="Calibri" w:eastAsia="Calibri" w:hAnsi="Calibri" w:cs="Calibri"/>
          <w:b/>
          <w:bCs/>
          <w:color w:val="4F81BD"/>
          <w:sz w:val="26"/>
          <w:szCs w:val="26"/>
          <w:lang w:val="en-US"/>
        </w:rPr>
        <w:t>2. Analysevragen per thema</w:t>
      </w:r>
      <w:bookmarkEnd w:id="47"/>
    </w:p>
    <w:p w14:paraId="4155747B" w14:textId="44A8A0E8" w:rsidR="32F1AED3" w:rsidRDefault="2E391325" w:rsidP="6D5ED2DD">
      <w:pPr>
        <w:pStyle w:val="Heading3"/>
        <w:spacing w:before="200" w:after="0" w:line="276" w:lineRule="auto"/>
        <w:rPr>
          <w:rFonts w:ascii="Calibri" w:eastAsia="Calibri" w:hAnsi="Calibri" w:cs="Calibri"/>
          <w:b/>
          <w:bCs/>
          <w:color w:val="4F81BD"/>
          <w:sz w:val="22"/>
          <w:szCs w:val="22"/>
          <w:lang w:val="en-US"/>
        </w:rPr>
      </w:pPr>
      <w:bookmarkStart w:id="48" w:name="_Toc2064162588"/>
      <w:r w:rsidRPr="6D5ED2DD">
        <w:rPr>
          <w:rFonts w:ascii="Calibri" w:eastAsia="Calibri" w:hAnsi="Calibri" w:cs="Calibri"/>
          <w:b/>
          <w:bCs/>
          <w:color w:val="4F81BD"/>
          <w:sz w:val="22"/>
          <w:szCs w:val="22"/>
          <w:lang w:val="en-US"/>
        </w:rPr>
        <w:t>A. Duurzaamheid / ESG-beleid</w:t>
      </w:r>
      <w:bookmarkEnd w:id="48"/>
    </w:p>
    <w:tbl>
      <w:tblPr>
        <w:tblW w:w="0" w:type="auto"/>
        <w:tblLook w:val="04A0" w:firstRow="1" w:lastRow="0" w:firstColumn="1" w:lastColumn="0" w:noHBand="0" w:noVBand="1"/>
      </w:tblPr>
      <w:tblGrid>
        <w:gridCol w:w="2543"/>
        <w:gridCol w:w="2195"/>
        <w:gridCol w:w="1336"/>
        <w:gridCol w:w="1620"/>
        <w:gridCol w:w="1332"/>
      </w:tblGrid>
      <w:tr w:rsidR="6D5ED2DD" w14:paraId="0FDAD378" w14:textId="77777777" w:rsidTr="6D5ED2DD">
        <w:trPr>
          <w:trHeight w:val="300"/>
        </w:trPr>
        <w:tc>
          <w:tcPr>
            <w:tcW w:w="2621" w:type="dxa"/>
            <w:tcMar>
              <w:left w:w="108" w:type="dxa"/>
              <w:right w:w="108" w:type="dxa"/>
            </w:tcMar>
          </w:tcPr>
          <w:p w14:paraId="5E8CC634" w14:textId="17BD4754" w:rsidR="6D5ED2DD" w:rsidRDefault="6D5ED2DD" w:rsidP="6D5ED2DD">
            <w:pPr>
              <w:spacing w:after="200" w:line="276" w:lineRule="auto"/>
            </w:pPr>
            <w:r w:rsidRPr="6D5ED2DD">
              <w:rPr>
                <w:rFonts w:ascii="Cambria" w:eastAsia="Cambria" w:hAnsi="Cambria" w:cs="Cambria"/>
                <w:sz w:val="22"/>
                <w:szCs w:val="22"/>
                <w:lang w:val="en-US"/>
              </w:rPr>
              <w:t>Vraag</w:t>
            </w:r>
          </w:p>
        </w:tc>
        <w:tc>
          <w:tcPr>
            <w:tcW w:w="2230" w:type="dxa"/>
            <w:tcMar>
              <w:left w:w="108" w:type="dxa"/>
              <w:right w:w="108" w:type="dxa"/>
            </w:tcMar>
          </w:tcPr>
          <w:p w14:paraId="06665E99" w14:textId="7D234480" w:rsidR="6D5ED2DD" w:rsidRDefault="6D5ED2DD" w:rsidP="6D5ED2DD">
            <w:pPr>
              <w:spacing w:after="200" w:line="276" w:lineRule="auto"/>
            </w:pPr>
            <w:r w:rsidRPr="6D5ED2DD">
              <w:rPr>
                <w:rFonts w:ascii="Cambria" w:eastAsia="Cambria" w:hAnsi="Cambria" w:cs="Cambria"/>
                <w:sz w:val="22"/>
                <w:szCs w:val="22"/>
                <w:lang w:val="en-US"/>
              </w:rPr>
              <w:t>BNP Paribas AM</w:t>
            </w:r>
          </w:p>
        </w:tc>
        <w:tc>
          <w:tcPr>
            <w:tcW w:w="1728" w:type="dxa"/>
            <w:tcMar>
              <w:left w:w="108" w:type="dxa"/>
              <w:right w:w="108" w:type="dxa"/>
            </w:tcMar>
          </w:tcPr>
          <w:p w14:paraId="49853EF7" w14:textId="14AE0BAC" w:rsidR="6D5ED2DD" w:rsidRDefault="6D5ED2DD" w:rsidP="6D5ED2DD">
            <w:pPr>
              <w:spacing w:after="200" w:line="276" w:lineRule="auto"/>
            </w:pPr>
            <w:r w:rsidRPr="6D5ED2DD">
              <w:rPr>
                <w:rFonts w:ascii="Cambria" w:eastAsia="Cambria" w:hAnsi="Cambria" w:cs="Cambria"/>
                <w:sz w:val="22"/>
                <w:szCs w:val="22"/>
                <w:lang w:val="en-US"/>
              </w:rPr>
              <w:t>Robeco</w:t>
            </w:r>
          </w:p>
        </w:tc>
        <w:tc>
          <w:tcPr>
            <w:tcW w:w="1728" w:type="dxa"/>
            <w:tcMar>
              <w:left w:w="108" w:type="dxa"/>
              <w:right w:w="108" w:type="dxa"/>
            </w:tcMar>
          </w:tcPr>
          <w:p w14:paraId="30E3EF70" w14:textId="5D31EE96" w:rsidR="6D5ED2DD" w:rsidRDefault="6D5ED2DD" w:rsidP="6D5ED2DD">
            <w:pPr>
              <w:spacing w:after="200" w:line="276" w:lineRule="auto"/>
            </w:pPr>
            <w:r w:rsidRPr="6D5ED2DD">
              <w:rPr>
                <w:rFonts w:ascii="Cambria" w:eastAsia="Cambria" w:hAnsi="Cambria" w:cs="Cambria"/>
                <w:sz w:val="22"/>
                <w:szCs w:val="22"/>
                <w:lang w:val="en-US"/>
              </w:rPr>
              <w:t>UBS AM</w:t>
            </w:r>
          </w:p>
        </w:tc>
        <w:tc>
          <w:tcPr>
            <w:tcW w:w="1728" w:type="dxa"/>
            <w:tcMar>
              <w:left w:w="108" w:type="dxa"/>
              <w:right w:w="108" w:type="dxa"/>
            </w:tcMar>
          </w:tcPr>
          <w:p w14:paraId="0379FFF1" w14:textId="0EFCD26A" w:rsidR="6D5ED2DD" w:rsidRDefault="6D5ED2DD" w:rsidP="6D5ED2DD">
            <w:pPr>
              <w:spacing w:after="200" w:line="276" w:lineRule="auto"/>
            </w:pPr>
            <w:r w:rsidRPr="6D5ED2DD">
              <w:rPr>
                <w:rFonts w:ascii="Cambria" w:eastAsia="Cambria" w:hAnsi="Cambria" w:cs="Cambria"/>
                <w:sz w:val="22"/>
                <w:szCs w:val="22"/>
                <w:lang w:val="en-US"/>
              </w:rPr>
              <w:t>Candriam</w:t>
            </w:r>
          </w:p>
        </w:tc>
      </w:tr>
      <w:tr w:rsidR="6D5ED2DD" w14:paraId="70D9EA1F" w14:textId="77777777" w:rsidTr="6D5ED2DD">
        <w:trPr>
          <w:trHeight w:val="300"/>
        </w:trPr>
        <w:tc>
          <w:tcPr>
            <w:tcW w:w="2621" w:type="dxa"/>
            <w:tcMar>
              <w:left w:w="108" w:type="dxa"/>
              <w:right w:w="108" w:type="dxa"/>
            </w:tcMar>
          </w:tcPr>
          <w:p w14:paraId="77694F55" w14:textId="64A79BEC" w:rsidR="6D5ED2DD" w:rsidRDefault="6D5ED2DD" w:rsidP="6D5ED2DD">
            <w:pPr>
              <w:spacing w:after="200" w:line="276" w:lineRule="auto"/>
            </w:pPr>
            <w:r w:rsidRPr="6D5ED2DD">
              <w:rPr>
                <w:rFonts w:ascii="Cambria" w:eastAsia="Cambria" w:hAnsi="Cambria" w:cs="Cambria"/>
                <w:sz w:val="22"/>
                <w:szCs w:val="22"/>
              </w:rPr>
              <w:t>Heeft het bedrijf een formeel ESG-beleid?</w:t>
            </w:r>
          </w:p>
        </w:tc>
        <w:tc>
          <w:tcPr>
            <w:tcW w:w="2230" w:type="dxa"/>
            <w:tcMar>
              <w:left w:w="108" w:type="dxa"/>
              <w:right w:w="108" w:type="dxa"/>
            </w:tcMar>
          </w:tcPr>
          <w:p w14:paraId="269A8871" w14:textId="7698CB0A" w:rsidR="6D5ED2DD" w:rsidRDefault="6D5ED2DD" w:rsidP="6D5ED2DD">
            <w:pPr>
              <w:spacing w:after="200" w:line="276" w:lineRule="auto"/>
            </w:pPr>
            <w:r w:rsidRPr="6D5ED2DD">
              <w:rPr>
                <w:rFonts w:ascii="Cambria" w:eastAsia="Cambria" w:hAnsi="Cambria" w:cs="Cambria"/>
                <w:sz w:val="22"/>
                <w:szCs w:val="22"/>
              </w:rPr>
              <w:t>Ja, uitgebreid ESG- en duurzaamheidsbeleid sinds 2002 (“3 E’s strategie”).</w:t>
            </w:r>
          </w:p>
        </w:tc>
        <w:tc>
          <w:tcPr>
            <w:tcW w:w="1728" w:type="dxa"/>
            <w:tcMar>
              <w:left w:w="108" w:type="dxa"/>
              <w:right w:w="108" w:type="dxa"/>
            </w:tcMar>
          </w:tcPr>
          <w:p w14:paraId="2E5DAAD4" w14:textId="13328D03" w:rsidR="6D5ED2DD" w:rsidRDefault="6D5ED2DD" w:rsidP="6D5ED2DD">
            <w:pPr>
              <w:spacing w:after="200" w:line="276" w:lineRule="auto"/>
            </w:pPr>
            <w:r w:rsidRPr="6D5ED2DD">
              <w:rPr>
                <w:rFonts w:ascii="Cambria" w:eastAsia="Cambria" w:hAnsi="Cambria" w:cs="Cambria"/>
                <w:sz w:val="22"/>
                <w:szCs w:val="22"/>
              </w:rPr>
              <w:t>Ja, geïntegreerd in alle fondsen en strategieën.</w:t>
            </w:r>
          </w:p>
        </w:tc>
        <w:tc>
          <w:tcPr>
            <w:tcW w:w="1728" w:type="dxa"/>
            <w:tcMar>
              <w:left w:w="108" w:type="dxa"/>
              <w:right w:w="108" w:type="dxa"/>
            </w:tcMar>
          </w:tcPr>
          <w:p w14:paraId="021C51B1" w14:textId="122040C5" w:rsidR="6D5ED2DD" w:rsidRDefault="6D5ED2DD" w:rsidP="6D5ED2DD">
            <w:pPr>
              <w:spacing w:after="200" w:line="276" w:lineRule="auto"/>
            </w:pPr>
            <w:r w:rsidRPr="6D5ED2DD">
              <w:rPr>
                <w:rFonts w:ascii="Cambria" w:eastAsia="Cambria" w:hAnsi="Cambria" w:cs="Cambria"/>
                <w:sz w:val="22"/>
                <w:szCs w:val="22"/>
              </w:rPr>
              <w:t>Ja, ESG-beleid aanwezig maar minder diepgaand gepubliceerd.</w:t>
            </w:r>
          </w:p>
        </w:tc>
        <w:tc>
          <w:tcPr>
            <w:tcW w:w="1728" w:type="dxa"/>
            <w:tcMar>
              <w:left w:w="108" w:type="dxa"/>
              <w:right w:w="108" w:type="dxa"/>
            </w:tcMar>
          </w:tcPr>
          <w:p w14:paraId="4EC885A5" w14:textId="3400CE1A" w:rsidR="6D5ED2DD" w:rsidRDefault="6D5ED2DD" w:rsidP="6D5ED2DD">
            <w:pPr>
              <w:spacing w:after="200" w:line="276" w:lineRule="auto"/>
            </w:pPr>
            <w:r w:rsidRPr="6D5ED2DD">
              <w:rPr>
                <w:rFonts w:ascii="Cambria" w:eastAsia="Cambria" w:hAnsi="Cambria" w:cs="Cambria"/>
                <w:sz w:val="22"/>
                <w:szCs w:val="22"/>
              </w:rPr>
              <w:t>Ja, sinds 1996 pionier in ESG-integratie.</w:t>
            </w:r>
          </w:p>
        </w:tc>
      </w:tr>
      <w:tr w:rsidR="6D5ED2DD" w14:paraId="21BDA9BE" w14:textId="77777777" w:rsidTr="6D5ED2DD">
        <w:trPr>
          <w:trHeight w:val="300"/>
        </w:trPr>
        <w:tc>
          <w:tcPr>
            <w:tcW w:w="2621" w:type="dxa"/>
            <w:tcMar>
              <w:left w:w="108" w:type="dxa"/>
              <w:right w:w="108" w:type="dxa"/>
            </w:tcMar>
          </w:tcPr>
          <w:p w14:paraId="12CC9FCE" w14:textId="43893449" w:rsidR="6D5ED2DD" w:rsidRDefault="6D5ED2DD" w:rsidP="6D5ED2DD">
            <w:pPr>
              <w:spacing w:after="200" w:line="276" w:lineRule="auto"/>
            </w:pPr>
            <w:r w:rsidRPr="6D5ED2DD">
              <w:rPr>
                <w:rFonts w:ascii="Cambria" w:eastAsia="Cambria" w:hAnsi="Cambria" w:cs="Cambria"/>
                <w:sz w:val="22"/>
                <w:szCs w:val="22"/>
              </w:rPr>
              <w:t>Sluit het bedrijf sectoren uit?</w:t>
            </w:r>
          </w:p>
        </w:tc>
        <w:tc>
          <w:tcPr>
            <w:tcW w:w="2230" w:type="dxa"/>
            <w:tcMar>
              <w:left w:w="108" w:type="dxa"/>
              <w:right w:w="108" w:type="dxa"/>
            </w:tcMar>
          </w:tcPr>
          <w:p w14:paraId="61915ED2" w14:textId="17E293AE" w:rsidR="6D5ED2DD" w:rsidRDefault="6D5ED2DD" w:rsidP="6D5ED2DD">
            <w:pPr>
              <w:spacing w:after="200" w:line="276" w:lineRule="auto"/>
            </w:pPr>
            <w:r w:rsidRPr="6D5ED2DD">
              <w:rPr>
                <w:rFonts w:ascii="Cambria" w:eastAsia="Cambria" w:hAnsi="Cambria" w:cs="Cambria"/>
                <w:sz w:val="22"/>
                <w:szCs w:val="22"/>
              </w:rPr>
              <w:t>Ja – controversiële wapens, steenkool, tabak, etc.</w:t>
            </w:r>
          </w:p>
        </w:tc>
        <w:tc>
          <w:tcPr>
            <w:tcW w:w="1728" w:type="dxa"/>
            <w:tcMar>
              <w:left w:w="108" w:type="dxa"/>
              <w:right w:w="108" w:type="dxa"/>
            </w:tcMar>
          </w:tcPr>
          <w:p w14:paraId="5AA16BD6" w14:textId="715FCD27" w:rsidR="6D5ED2DD" w:rsidRDefault="6D5ED2DD" w:rsidP="6D5ED2DD">
            <w:pPr>
              <w:spacing w:after="200" w:line="276" w:lineRule="auto"/>
            </w:pPr>
            <w:r w:rsidRPr="6D5ED2DD">
              <w:rPr>
                <w:rFonts w:ascii="Cambria" w:eastAsia="Cambria" w:hAnsi="Cambria" w:cs="Cambria"/>
                <w:sz w:val="22"/>
                <w:szCs w:val="22"/>
              </w:rPr>
              <w:t>Ja – fossiele brandstoffen, tabak, wapens.</w:t>
            </w:r>
          </w:p>
        </w:tc>
        <w:tc>
          <w:tcPr>
            <w:tcW w:w="1728" w:type="dxa"/>
            <w:tcMar>
              <w:left w:w="108" w:type="dxa"/>
              <w:right w:w="108" w:type="dxa"/>
            </w:tcMar>
          </w:tcPr>
          <w:p w14:paraId="3C6E6454" w14:textId="0D91EB32" w:rsidR="6D5ED2DD" w:rsidRDefault="6D5ED2DD" w:rsidP="6D5ED2DD">
            <w:pPr>
              <w:spacing w:after="200" w:line="276" w:lineRule="auto"/>
            </w:pPr>
            <w:r w:rsidRPr="6D5ED2DD">
              <w:rPr>
                <w:rFonts w:ascii="Cambria" w:eastAsia="Cambria" w:hAnsi="Cambria" w:cs="Cambria"/>
                <w:sz w:val="22"/>
                <w:szCs w:val="22"/>
                <w:lang w:val="en-US"/>
              </w:rPr>
              <w:t>Ja, gedeeltelijk.</w:t>
            </w:r>
          </w:p>
        </w:tc>
        <w:tc>
          <w:tcPr>
            <w:tcW w:w="1728" w:type="dxa"/>
            <w:tcMar>
              <w:left w:w="108" w:type="dxa"/>
              <w:right w:w="108" w:type="dxa"/>
            </w:tcMar>
          </w:tcPr>
          <w:p w14:paraId="7A1EFF99" w14:textId="5E0A9324" w:rsidR="6D5ED2DD" w:rsidRDefault="6D5ED2DD" w:rsidP="6D5ED2DD">
            <w:pPr>
              <w:spacing w:after="200" w:line="276" w:lineRule="auto"/>
            </w:pPr>
            <w:r w:rsidRPr="6D5ED2DD">
              <w:rPr>
                <w:rFonts w:ascii="Cambria" w:eastAsia="Cambria" w:hAnsi="Cambria" w:cs="Cambria"/>
                <w:sz w:val="22"/>
                <w:szCs w:val="22"/>
              </w:rPr>
              <w:t>Ja – tabak, wapens, thermische kool, etc.</w:t>
            </w:r>
          </w:p>
        </w:tc>
      </w:tr>
      <w:tr w:rsidR="6D5ED2DD" w14:paraId="35C46EC9" w14:textId="77777777" w:rsidTr="6D5ED2DD">
        <w:trPr>
          <w:trHeight w:val="300"/>
        </w:trPr>
        <w:tc>
          <w:tcPr>
            <w:tcW w:w="2621" w:type="dxa"/>
            <w:tcMar>
              <w:left w:w="108" w:type="dxa"/>
              <w:right w:w="108" w:type="dxa"/>
            </w:tcMar>
          </w:tcPr>
          <w:p w14:paraId="036183E5" w14:textId="06364D51" w:rsidR="6D5ED2DD" w:rsidRDefault="6D5ED2DD" w:rsidP="6D5ED2DD">
            <w:pPr>
              <w:spacing w:after="200" w:line="276" w:lineRule="auto"/>
            </w:pPr>
            <w:r w:rsidRPr="6D5ED2DD">
              <w:rPr>
                <w:rFonts w:ascii="Cambria" w:eastAsia="Cambria" w:hAnsi="Cambria" w:cs="Cambria"/>
                <w:sz w:val="22"/>
                <w:szCs w:val="22"/>
              </w:rPr>
              <w:t>Wordt ESG geïntegreerd in alle beleggingen?</w:t>
            </w:r>
          </w:p>
        </w:tc>
        <w:tc>
          <w:tcPr>
            <w:tcW w:w="2230" w:type="dxa"/>
            <w:tcMar>
              <w:left w:w="108" w:type="dxa"/>
              <w:right w:w="108" w:type="dxa"/>
            </w:tcMar>
          </w:tcPr>
          <w:p w14:paraId="46DA906D" w14:textId="400E5E8C" w:rsidR="6D5ED2DD" w:rsidRDefault="6D5ED2DD" w:rsidP="6D5ED2DD">
            <w:pPr>
              <w:spacing w:after="200" w:line="276" w:lineRule="auto"/>
            </w:pPr>
            <w:r w:rsidRPr="6D5ED2DD">
              <w:rPr>
                <w:rFonts w:ascii="Cambria" w:eastAsia="Cambria" w:hAnsi="Cambria" w:cs="Cambria"/>
                <w:sz w:val="22"/>
                <w:szCs w:val="22"/>
                <w:lang w:val="en-US"/>
              </w:rPr>
              <w:t>Ja.</w:t>
            </w:r>
          </w:p>
        </w:tc>
        <w:tc>
          <w:tcPr>
            <w:tcW w:w="1728" w:type="dxa"/>
            <w:tcMar>
              <w:left w:w="108" w:type="dxa"/>
              <w:right w:w="108" w:type="dxa"/>
            </w:tcMar>
          </w:tcPr>
          <w:p w14:paraId="6700926C" w14:textId="166C18D3" w:rsidR="6D5ED2DD" w:rsidRDefault="6D5ED2DD" w:rsidP="6D5ED2DD">
            <w:pPr>
              <w:spacing w:after="200" w:line="276" w:lineRule="auto"/>
            </w:pPr>
            <w:r w:rsidRPr="6D5ED2DD">
              <w:rPr>
                <w:rFonts w:ascii="Cambria" w:eastAsia="Cambria" w:hAnsi="Cambria" w:cs="Cambria"/>
                <w:sz w:val="22"/>
                <w:szCs w:val="22"/>
                <w:lang w:val="en-US"/>
              </w:rPr>
              <w:t>Ja, volledig geïntegreerd.</w:t>
            </w:r>
          </w:p>
        </w:tc>
        <w:tc>
          <w:tcPr>
            <w:tcW w:w="1728" w:type="dxa"/>
            <w:tcMar>
              <w:left w:w="108" w:type="dxa"/>
              <w:right w:w="108" w:type="dxa"/>
            </w:tcMar>
          </w:tcPr>
          <w:p w14:paraId="21C09A17" w14:textId="303CF055" w:rsidR="6D5ED2DD" w:rsidRDefault="6D5ED2DD" w:rsidP="6D5ED2DD">
            <w:pPr>
              <w:spacing w:after="200" w:line="276" w:lineRule="auto"/>
            </w:pPr>
            <w:r w:rsidRPr="6D5ED2DD">
              <w:rPr>
                <w:rFonts w:ascii="Cambria" w:eastAsia="Cambria" w:hAnsi="Cambria" w:cs="Cambria"/>
                <w:sz w:val="22"/>
                <w:szCs w:val="22"/>
                <w:lang w:val="en-US"/>
              </w:rPr>
              <w:t>Gedeeltelijk.</w:t>
            </w:r>
          </w:p>
        </w:tc>
        <w:tc>
          <w:tcPr>
            <w:tcW w:w="1728" w:type="dxa"/>
            <w:tcMar>
              <w:left w:w="108" w:type="dxa"/>
              <w:right w:w="108" w:type="dxa"/>
            </w:tcMar>
          </w:tcPr>
          <w:p w14:paraId="03CEBEEA" w14:textId="11C8B0E8" w:rsidR="6D5ED2DD" w:rsidRDefault="6D5ED2DD" w:rsidP="6D5ED2DD">
            <w:pPr>
              <w:spacing w:after="200" w:line="276" w:lineRule="auto"/>
            </w:pPr>
            <w:r w:rsidRPr="6D5ED2DD">
              <w:rPr>
                <w:rFonts w:ascii="Cambria" w:eastAsia="Cambria" w:hAnsi="Cambria" w:cs="Cambria"/>
                <w:sz w:val="22"/>
                <w:szCs w:val="22"/>
                <w:lang w:val="en-US"/>
              </w:rPr>
              <w:t>Ja, grotendeels.</w:t>
            </w:r>
          </w:p>
        </w:tc>
      </w:tr>
      <w:tr w:rsidR="6D5ED2DD" w14:paraId="23CA3B70" w14:textId="77777777" w:rsidTr="6D5ED2DD">
        <w:trPr>
          <w:trHeight w:val="300"/>
        </w:trPr>
        <w:tc>
          <w:tcPr>
            <w:tcW w:w="2621" w:type="dxa"/>
            <w:tcMar>
              <w:left w:w="108" w:type="dxa"/>
              <w:right w:w="108" w:type="dxa"/>
            </w:tcMar>
          </w:tcPr>
          <w:p w14:paraId="2CA163EE" w14:textId="416DDD86" w:rsidR="6D5ED2DD" w:rsidRDefault="6D5ED2DD" w:rsidP="6D5ED2DD">
            <w:pPr>
              <w:spacing w:after="200" w:line="276" w:lineRule="auto"/>
            </w:pPr>
            <w:r w:rsidRPr="6D5ED2DD">
              <w:rPr>
                <w:rFonts w:ascii="Cambria" w:eastAsia="Cambria" w:hAnsi="Cambria" w:cs="Cambria"/>
                <w:sz w:val="22"/>
                <w:szCs w:val="22"/>
              </w:rPr>
              <w:t>ESG-rating of eigen analyse?</w:t>
            </w:r>
          </w:p>
        </w:tc>
        <w:tc>
          <w:tcPr>
            <w:tcW w:w="2230" w:type="dxa"/>
            <w:tcMar>
              <w:left w:w="108" w:type="dxa"/>
              <w:right w:w="108" w:type="dxa"/>
            </w:tcMar>
          </w:tcPr>
          <w:p w14:paraId="2E07A4E4" w14:textId="3F4AA0C7" w:rsidR="6D5ED2DD" w:rsidRDefault="6D5ED2DD" w:rsidP="6D5ED2DD">
            <w:pPr>
              <w:spacing w:after="200" w:line="276" w:lineRule="auto"/>
            </w:pPr>
            <w:r w:rsidRPr="6D5ED2DD">
              <w:rPr>
                <w:rFonts w:ascii="Cambria" w:eastAsia="Cambria" w:hAnsi="Cambria" w:cs="Cambria"/>
                <w:sz w:val="22"/>
                <w:szCs w:val="22"/>
                <w:lang w:val="en-US"/>
              </w:rPr>
              <w:t>Eigen Sustainability Centre.</w:t>
            </w:r>
          </w:p>
        </w:tc>
        <w:tc>
          <w:tcPr>
            <w:tcW w:w="1728" w:type="dxa"/>
            <w:tcMar>
              <w:left w:w="108" w:type="dxa"/>
              <w:right w:w="108" w:type="dxa"/>
            </w:tcMar>
          </w:tcPr>
          <w:p w14:paraId="598E6048" w14:textId="05BD1B90" w:rsidR="6D5ED2DD" w:rsidRDefault="6D5ED2DD" w:rsidP="6D5ED2DD">
            <w:pPr>
              <w:spacing w:after="200" w:line="276" w:lineRule="auto"/>
            </w:pPr>
            <w:r w:rsidRPr="6D5ED2DD">
              <w:rPr>
                <w:rFonts w:ascii="Cambria" w:eastAsia="Cambria" w:hAnsi="Cambria" w:cs="Cambria"/>
                <w:sz w:val="22"/>
                <w:szCs w:val="22"/>
                <w:lang w:val="en-US"/>
              </w:rPr>
              <w:t>Eigen Research + externe data.</w:t>
            </w:r>
          </w:p>
        </w:tc>
        <w:tc>
          <w:tcPr>
            <w:tcW w:w="1728" w:type="dxa"/>
            <w:tcMar>
              <w:left w:w="108" w:type="dxa"/>
              <w:right w:w="108" w:type="dxa"/>
            </w:tcMar>
          </w:tcPr>
          <w:p w14:paraId="4C2DA6F6" w14:textId="053EAD1D" w:rsidR="6D5ED2DD" w:rsidRDefault="6D5ED2DD" w:rsidP="6D5ED2DD">
            <w:pPr>
              <w:spacing w:after="200" w:line="276" w:lineRule="auto"/>
            </w:pPr>
            <w:r w:rsidRPr="6D5ED2DD">
              <w:rPr>
                <w:rFonts w:ascii="Cambria" w:eastAsia="Cambria" w:hAnsi="Cambria" w:cs="Cambria"/>
                <w:sz w:val="22"/>
                <w:szCs w:val="22"/>
                <w:lang w:val="en-US"/>
              </w:rPr>
              <w:t>Externe ESG-data.</w:t>
            </w:r>
          </w:p>
        </w:tc>
        <w:tc>
          <w:tcPr>
            <w:tcW w:w="1728" w:type="dxa"/>
            <w:tcMar>
              <w:left w:w="108" w:type="dxa"/>
              <w:right w:w="108" w:type="dxa"/>
            </w:tcMar>
          </w:tcPr>
          <w:p w14:paraId="054F0238" w14:textId="489EEE67" w:rsidR="6D5ED2DD" w:rsidRDefault="6D5ED2DD" w:rsidP="6D5ED2DD">
            <w:pPr>
              <w:spacing w:after="200" w:line="276" w:lineRule="auto"/>
            </w:pPr>
            <w:r w:rsidRPr="6D5ED2DD">
              <w:rPr>
                <w:rFonts w:ascii="Cambria" w:eastAsia="Cambria" w:hAnsi="Cambria" w:cs="Cambria"/>
                <w:sz w:val="22"/>
                <w:szCs w:val="22"/>
                <w:lang w:val="en-US"/>
              </w:rPr>
              <w:t>Eigen ESG-analyse-team.</w:t>
            </w:r>
          </w:p>
        </w:tc>
      </w:tr>
      <w:tr w:rsidR="6D5ED2DD" w14:paraId="369E4041" w14:textId="77777777" w:rsidTr="6D5ED2DD">
        <w:trPr>
          <w:trHeight w:val="300"/>
        </w:trPr>
        <w:tc>
          <w:tcPr>
            <w:tcW w:w="2621" w:type="dxa"/>
            <w:tcMar>
              <w:left w:w="108" w:type="dxa"/>
              <w:right w:w="108" w:type="dxa"/>
            </w:tcMar>
          </w:tcPr>
          <w:p w14:paraId="4E93E774" w14:textId="16B67B40" w:rsidR="6D5ED2DD" w:rsidRDefault="6D5ED2DD" w:rsidP="6D5ED2DD">
            <w:pPr>
              <w:spacing w:after="200" w:line="276" w:lineRule="auto"/>
            </w:pPr>
            <w:r w:rsidRPr="6D5ED2DD">
              <w:rPr>
                <w:rFonts w:ascii="Cambria" w:eastAsia="Cambria" w:hAnsi="Cambria" w:cs="Cambria"/>
                <w:sz w:val="22"/>
                <w:szCs w:val="22"/>
              </w:rPr>
              <w:t>Lid van initiatieven (UN PRI, etc.)</w:t>
            </w:r>
          </w:p>
        </w:tc>
        <w:tc>
          <w:tcPr>
            <w:tcW w:w="2230" w:type="dxa"/>
            <w:tcMar>
              <w:left w:w="108" w:type="dxa"/>
              <w:right w:w="108" w:type="dxa"/>
            </w:tcMar>
          </w:tcPr>
          <w:p w14:paraId="2C00702B" w14:textId="4AD36224" w:rsidR="6D5ED2DD" w:rsidRDefault="6D5ED2DD" w:rsidP="6D5ED2DD">
            <w:pPr>
              <w:spacing w:after="200" w:line="276" w:lineRule="auto"/>
            </w:pPr>
            <w:r w:rsidRPr="6D5ED2DD">
              <w:rPr>
                <w:rFonts w:ascii="Cambria" w:eastAsia="Cambria" w:hAnsi="Cambria" w:cs="Cambria"/>
                <w:sz w:val="22"/>
                <w:szCs w:val="22"/>
                <w:lang w:val="en-US"/>
              </w:rPr>
              <w:t>Ja (UN PRI, NZAM).</w:t>
            </w:r>
          </w:p>
        </w:tc>
        <w:tc>
          <w:tcPr>
            <w:tcW w:w="1728" w:type="dxa"/>
            <w:tcMar>
              <w:left w:w="108" w:type="dxa"/>
              <w:right w:w="108" w:type="dxa"/>
            </w:tcMar>
          </w:tcPr>
          <w:p w14:paraId="12AA9B09" w14:textId="396A016B" w:rsidR="6D5ED2DD" w:rsidRDefault="6D5ED2DD" w:rsidP="6D5ED2DD">
            <w:pPr>
              <w:spacing w:after="200" w:line="276" w:lineRule="auto"/>
            </w:pPr>
            <w:r w:rsidRPr="6D5ED2DD">
              <w:rPr>
                <w:rFonts w:ascii="Cambria" w:eastAsia="Cambria" w:hAnsi="Cambria" w:cs="Cambria"/>
                <w:sz w:val="22"/>
                <w:szCs w:val="22"/>
              </w:rPr>
              <w:t>Ja (UN PRI, NZAM, SFDR 9).</w:t>
            </w:r>
          </w:p>
        </w:tc>
        <w:tc>
          <w:tcPr>
            <w:tcW w:w="1728" w:type="dxa"/>
            <w:tcMar>
              <w:left w:w="108" w:type="dxa"/>
              <w:right w:w="108" w:type="dxa"/>
            </w:tcMar>
          </w:tcPr>
          <w:p w14:paraId="0A8D50E7" w14:textId="2D45A867" w:rsidR="6D5ED2DD" w:rsidRDefault="6D5ED2DD" w:rsidP="6D5ED2DD">
            <w:pPr>
              <w:spacing w:after="200" w:line="276" w:lineRule="auto"/>
            </w:pPr>
            <w:r w:rsidRPr="6D5ED2DD">
              <w:rPr>
                <w:rFonts w:ascii="Cambria" w:eastAsia="Cambria" w:hAnsi="Cambria" w:cs="Cambria"/>
                <w:sz w:val="22"/>
                <w:szCs w:val="22"/>
                <w:lang w:val="en-US"/>
              </w:rPr>
              <w:t>Ja (UN PRI).</w:t>
            </w:r>
          </w:p>
        </w:tc>
        <w:tc>
          <w:tcPr>
            <w:tcW w:w="1728" w:type="dxa"/>
            <w:tcMar>
              <w:left w:w="108" w:type="dxa"/>
              <w:right w:w="108" w:type="dxa"/>
            </w:tcMar>
          </w:tcPr>
          <w:p w14:paraId="4B833E95" w14:textId="5AEF630D" w:rsidR="6D5ED2DD" w:rsidRDefault="6D5ED2DD" w:rsidP="6D5ED2DD">
            <w:pPr>
              <w:spacing w:after="200" w:line="276" w:lineRule="auto"/>
            </w:pPr>
            <w:r w:rsidRPr="6D5ED2DD">
              <w:rPr>
                <w:rFonts w:ascii="Cambria" w:eastAsia="Cambria" w:hAnsi="Cambria" w:cs="Cambria"/>
                <w:sz w:val="22"/>
                <w:szCs w:val="22"/>
                <w:lang w:val="en-US"/>
              </w:rPr>
              <w:t>Ja (UN PRI, SFDR 9).</w:t>
            </w:r>
          </w:p>
        </w:tc>
      </w:tr>
      <w:tr w:rsidR="6D5ED2DD" w14:paraId="0FB11336" w14:textId="77777777" w:rsidTr="6D5ED2DD">
        <w:trPr>
          <w:trHeight w:val="300"/>
        </w:trPr>
        <w:tc>
          <w:tcPr>
            <w:tcW w:w="2621" w:type="dxa"/>
            <w:tcMar>
              <w:left w:w="108" w:type="dxa"/>
              <w:right w:w="108" w:type="dxa"/>
            </w:tcMar>
          </w:tcPr>
          <w:p w14:paraId="727C03ED" w14:textId="3A60CCCD" w:rsidR="6D5ED2DD" w:rsidRDefault="6D5ED2DD" w:rsidP="6D5ED2DD">
            <w:pPr>
              <w:spacing w:after="200" w:line="276" w:lineRule="auto"/>
            </w:pPr>
            <w:r w:rsidRPr="6D5ED2DD">
              <w:rPr>
                <w:rFonts w:ascii="Cambria" w:eastAsia="Cambria" w:hAnsi="Cambria" w:cs="Cambria"/>
                <w:sz w:val="22"/>
                <w:szCs w:val="22"/>
                <w:lang w:val="en-US"/>
              </w:rPr>
              <w:t>Duurzaamheidsrapportage?</w:t>
            </w:r>
          </w:p>
        </w:tc>
        <w:tc>
          <w:tcPr>
            <w:tcW w:w="2230" w:type="dxa"/>
            <w:tcMar>
              <w:left w:w="108" w:type="dxa"/>
              <w:right w:w="108" w:type="dxa"/>
            </w:tcMar>
          </w:tcPr>
          <w:p w14:paraId="04F05E9C" w14:textId="34B67C0A" w:rsidR="6D5ED2DD" w:rsidRDefault="6D5ED2DD" w:rsidP="6D5ED2DD">
            <w:pPr>
              <w:spacing w:after="200" w:line="276" w:lineRule="auto"/>
            </w:pPr>
            <w:r w:rsidRPr="6D5ED2DD">
              <w:rPr>
                <w:rFonts w:ascii="Cambria" w:eastAsia="Cambria" w:hAnsi="Cambria" w:cs="Cambria"/>
                <w:sz w:val="22"/>
                <w:szCs w:val="22"/>
                <w:lang w:val="en-US"/>
              </w:rPr>
              <w:t>Jaarlijks duurzaamheidsrapport.</w:t>
            </w:r>
          </w:p>
        </w:tc>
        <w:tc>
          <w:tcPr>
            <w:tcW w:w="1728" w:type="dxa"/>
            <w:tcMar>
              <w:left w:w="108" w:type="dxa"/>
              <w:right w:w="108" w:type="dxa"/>
            </w:tcMar>
          </w:tcPr>
          <w:p w14:paraId="3C7A38F3" w14:textId="7ED918F5" w:rsidR="6D5ED2DD" w:rsidRDefault="6D5ED2DD" w:rsidP="6D5ED2DD">
            <w:pPr>
              <w:spacing w:after="200" w:line="276" w:lineRule="auto"/>
            </w:pPr>
            <w:r w:rsidRPr="6D5ED2DD">
              <w:rPr>
                <w:rFonts w:ascii="Cambria" w:eastAsia="Cambria" w:hAnsi="Cambria" w:cs="Cambria"/>
                <w:sz w:val="22"/>
                <w:szCs w:val="22"/>
                <w:lang w:val="en-US"/>
              </w:rPr>
              <w:t>Transparante publicatie per fonds.</w:t>
            </w:r>
          </w:p>
        </w:tc>
        <w:tc>
          <w:tcPr>
            <w:tcW w:w="1728" w:type="dxa"/>
            <w:tcMar>
              <w:left w:w="108" w:type="dxa"/>
              <w:right w:w="108" w:type="dxa"/>
            </w:tcMar>
          </w:tcPr>
          <w:p w14:paraId="5D2F47E7" w14:textId="1B5FC36A" w:rsidR="6D5ED2DD" w:rsidRDefault="6D5ED2DD" w:rsidP="6D5ED2DD">
            <w:pPr>
              <w:spacing w:after="200" w:line="276" w:lineRule="auto"/>
            </w:pPr>
            <w:r w:rsidRPr="6D5ED2DD">
              <w:rPr>
                <w:rFonts w:ascii="Cambria" w:eastAsia="Cambria" w:hAnsi="Cambria" w:cs="Cambria"/>
                <w:sz w:val="22"/>
                <w:szCs w:val="22"/>
                <w:lang w:val="en-US"/>
              </w:rPr>
              <w:t>Basisrapportage.</w:t>
            </w:r>
          </w:p>
        </w:tc>
        <w:tc>
          <w:tcPr>
            <w:tcW w:w="1728" w:type="dxa"/>
            <w:tcMar>
              <w:left w:w="108" w:type="dxa"/>
              <w:right w:w="108" w:type="dxa"/>
            </w:tcMar>
          </w:tcPr>
          <w:p w14:paraId="6E3CD645" w14:textId="7E2ABF3F" w:rsidR="6D5ED2DD" w:rsidRDefault="6D5ED2DD" w:rsidP="6D5ED2DD">
            <w:pPr>
              <w:spacing w:after="200" w:line="276" w:lineRule="auto"/>
            </w:pPr>
            <w:r w:rsidRPr="6D5ED2DD">
              <w:rPr>
                <w:rFonts w:ascii="Cambria" w:eastAsia="Cambria" w:hAnsi="Cambria" w:cs="Cambria"/>
                <w:sz w:val="22"/>
                <w:szCs w:val="22"/>
                <w:lang w:val="en-US"/>
              </w:rPr>
              <w:t>Gedetailleerd ESG-verslag.</w:t>
            </w:r>
          </w:p>
        </w:tc>
      </w:tr>
      <w:tr w:rsidR="6D5ED2DD" w14:paraId="446EE9FA" w14:textId="77777777" w:rsidTr="6D5ED2DD">
        <w:trPr>
          <w:trHeight w:val="300"/>
        </w:trPr>
        <w:tc>
          <w:tcPr>
            <w:tcW w:w="2621" w:type="dxa"/>
            <w:tcMar>
              <w:left w:w="108" w:type="dxa"/>
              <w:right w:w="108" w:type="dxa"/>
            </w:tcMar>
          </w:tcPr>
          <w:p w14:paraId="49EA06DE" w14:textId="14B614C8" w:rsidR="6D5ED2DD" w:rsidRDefault="6D5ED2DD" w:rsidP="6D5ED2DD">
            <w:pPr>
              <w:spacing w:after="200" w:line="276" w:lineRule="auto"/>
            </w:pPr>
            <w:r w:rsidRPr="6D5ED2DD">
              <w:rPr>
                <w:rFonts w:ascii="Cambria" w:eastAsia="Cambria" w:hAnsi="Cambria" w:cs="Cambria"/>
                <w:sz w:val="22"/>
                <w:szCs w:val="22"/>
                <w:lang w:val="en-US"/>
              </w:rPr>
              <w:t>Voorbeelden duurzame fondsen</w:t>
            </w:r>
          </w:p>
        </w:tc>
        <w:tc>
          <w:tcPr>
            <w:tcW w:w="2230" w:type="dxa"/>
            <w:tcMar>
              <w:left w:w="108" w:type="dxa"/>
              <w:right w:w="108" w:type="dxa"/>
            </w:tcMar>
          </w:tcPr>
          <w:p w14:paraId="6A2AB091" w14:textId="3F024D11" w:rsidR="6D5ED2DD" w:rsidRDefault="6D5ED2DD" w:rsidP="6D5ED2DD">
            <w:pPr>
              <w:spacing w:after="200" w:line="276" w:lineRule="auto"/>
            </w:pPr>
            <w:r w:rsidRPr="6D5ED2DD">
              <w:rPr>
                <w:rFonts w:ascii="Cambria" w:eastAsia="Cambria" w:hAnsi="Cambria" w:cs="Cambria"/>
                <w:sz w:val="22"/>
                <w:szCs w:val="22"/>
                <w:lang w:val="en-US"/>
              </w:rPr>
              <w:t>Energy Transition, Climate Impact fonds.</w:t>
            </w:r>
          </w:p>
        </w:tc>
        <w:tc>
          <w:tcPr>
            <w:tcW w:w="1728" w:type="dxa"/>
            <w:tcMar>
              <w:left w:w="108" w:type="dxa"/>
              <w:right w:w="108" w:type="dxa"/>
            </w:tcMar>
          </w:tcPr>
          <w:p w14:paraId="7DEA5A0D" w14:textId="1048D04D" w:rsidR="6D5ED2DD" w:rsidRDefault="6D5ED2DD" w:rsidP="6D5ED2DD">
            <w:pPr>
              <w:spacing w:after="200" w:line="276" w:lineRule="auto"/>
            </w:pPr>
            <w:r w:rsidRPr="6D5ED2DD">
              <w:rPr>
                <w:rFonts w:ascii="Cambria" w:eastAsia="Cambria" w:hAnsi="Cambria" w:cs="Cambria"/>
                <w:sz w:val="22"/>
                <w:szCs w:val="22"/>
                <w:lang w:val="en-US"/>
              </w:rPr>
              <w:t>Global SDG Credits, Sustainable European Stars.</w:t>
            </w:r>
          </w:p>
        </w:tc>
        <w:tc>
          <w:tcPr>
            <w:tcW w:w="1728" w:type="dxa"/>
            <w:tcMar>
              <w:left w:w="108" w:type="dxa"/>
              <w:right w:w="108" w:type="dxa"/>
            </w:tcMar>
          </w:tcPr>
          <w:p w14:paraId="0D657D41" w14:textId="1290A2EA" w:rsidR="6D5ED2DD" w:rsidRDefault="6D5ED2DD" w:rsidP="6D5ED2DD">
            <w:pPr>
              <w:spacing w:after="200" w:line="276" w:lineRule="auto"/>
            </w:pPr>
            <w:r w:rsidRPr="6D5ED2DD">
              <w:rPr>
                <w:rFonts w:ascii="Cambria" w:eastAsia="Cambria" w:hAnsi="Cambria" w:cs="Cambria"/>
                <w:sz w:val="22"/>
                <w:szCs w:val="22"/>
                <w:lang w:val="en-US"/>
              </w:rPr>
              <w:t>Climate Aware Strategies.</w:t>
            </w:r>
          </w:p>
        </w:tc>
        <w:tc>
          <w:tcPr>
            <w:tcW w:w="1728" w:type="dxa"/>
            <w:tcMar>
              <w:left w:w="108" w:type="dxa"/>
              <w:right w:w="108" w:type="dxa"/>
            </w:tcMar>
          </w:tcPr>
          <w:p w14:paraId="75EA5826" w14:textId="30C4CF0D" w:rsidR="6D5ED2DD" w:rsidRDefault="6D5ED2DD" w:rsidP="6D5ED2DD">
            <w:pPr>
              <w:spacing w:after="200" w:line="276" w:lineRule="auto"/>
            </w:pPr>
            <w:r w:rsidRPr="6D5ED2DD">
              <w:rPr>
                <w:rFonts w:ascii="Cambria" w:eastAsia="Cambria" w:hAnsi="Cambria" w:cs="Cambria"/>
                <w:sz w:val="22"/>
                <w:szCs w:val="22"/>
                <w:lang w:val="en-US"/>
              </w:rPr>
              <w:t>Sustainable Water Fund (Article 9).</w:t>
            </w:r>
          </w:p>
        </w:tc>
      </w:tr>
    </w:tbl>
    <w:p w14:paraId="47AA3DBC" w14:textId="3904F37E" w:rsidR="32F1AED3" w:rsidRDefault="2E391325" w:rsidP="6D5ED2DD">
      <w:pPr>
        <w:pStyle w:val="Heading3"/>
        <w:spacing w:before="200" w:after="0" w:line="276" w:lineRule="auto"/>
        <w:rPr>
          <w:rFonts w:ascii="Calibri" w:eastAsia="Calibri" w:hAnsi="Calibri" w:cs="Calibri"/>
          <w:b/>
          <w:bCs/>
          <w:color w:val="4F81BD"/>
          <w:sz w:val="22"/>
          <w:szCs w:val="22"/>
        </w:rPr>
      </w:pPr>
      <w:bookmarkStart w:id="49" w:name="_Toc175194676"/>
      <w:r w:rsidRPr="6D5ED2DD">
        <w:rPr>
          <w:rFonts w:ascii="Calibri" w:eastAsia="Calibri" w:hAnsi="Calibri" w:cs="Calibri"/>
          <w:b/>
          <w:bCs/>
          <w:color w:val="4F81BD"/>
          <w:sz w:val="22"/>
          <w:szCs w:val="22"/>
        </w:rPr>
        <w:t>B. Governance (bestuur en transparantie)</w:t>
      </w:r>
      <w:bookmarkEnd w:id="49"/>
    </w:p>
    <w:tbl>
      <w:tblPr>
        <w:tblW w:w="0" w:type="auto"/>
        <w:tblLook w:val="04A0" w:firstRow="1" w:lastRow="0" w:firstColumn="1" w:lastColumn="0" w:noHBand="0" w:noVBand="1"/>
      </w:tblPr>
      <w:tblGrid>
        <w:gridCol w:w="2557"/>
        <w:gridCol w:w="1525"/>
        <w:gridCol w:w="2062"/>
        <w:gridCol w:w="1446"/>
        <w:gridCol w:w="1436"/>
      </w:tblGrid>
      <w:tr w:rsidR="6D5ED2DD" w14:paraId="6B6443BC" w14:textId="77777777" w:rsidTr="6D5ED2DD">
        <w:trPr>
          <w:trHeight w:val="300"/>
        </w:trPr>
        <w:tc>
          <w:tcPr>
            <w:tcW w:w="2340" w:type="dxa"/>
            <w:tcMar>
              <w:left w:w="108" w:type="dxa"/>
              <w:right w:w="108" w:type="dxa"/>
            </w:tcMar>
          </w:tcPr>
          <w:p w14:paraId="40C704BC" w14:textId="0E6FD5A9" w:rsidR="6D5ED2DD" w:rsidRDefault="6D5ED2DD" w:rsidP="6D5ED2DD">
            <w:pPr>
              <w:spacing w:after="200" w:line="276" w:lineRule="auto"/>
            </w:pPr>
            <w:r w:rsidRPr="6D5ED2DD">
              <w:rPr>
                <w:rFonts w:ascii="Cambria" w:eastAsia="Cambria" w:hAnsi="Cambria" w:cs="Cambria"/>
                <w:sz w:val="22"/>
                <w:szCs w:val="22"/>
                <w:lang w:val="en-US"/>
              </w:rPr>
              <w:t>Vraag</w:t>
            </w:r>
          </w:p>
        </w:tc>
        <w:tc>
          <w:tcPr>
            <w:tcW w:w="1728" w:type="dxa"/>
            <w:tcMar>
              <w:left w:w="108" w:type="dxa"/>
              <w:right w:w="108" w:type="dxa"/>
            </w:tcMar>
          </w:tcPr>
          <w:p w14:paraId="48A43F51" w14:textId="7DE7AC68" w:rsidR="6D5ED2DD" w:rsidRDefault="6D5ED2DD" w:rsidP="6D5ED2DD">
            <w:pPr>
              <w:spacing w:after="200" w:line="276" w:lineRule="auto"/>
            </w:pPr>
            <w:r w:rsidRPr="6D5ED2DD">
              <w:rPr>
                <w:rFonts w:ascii="Cambria" w:eastAsia="Cambria" w:hAnsi="Cambria" w:cs="Cambria"/>
                <w:sz w:val="22"/>
                <w:szCs w:val="22"/>
                <w:lang w:val="en-US"/>
              </w:rPr>
              <w:t>BNP Paribas AM</w:t>
            </w:r>
          </w:p>
        </w:tc>
        <w:tc>
          <w:tcPr>
            <w:tcW w:w="1845" w:type="dxa"/>
            <w:tcMar>
              <w:left w:w="108" w:type="dxa"/>
              <w:right w:w="108" w:type="dxa"/>
            </w:tcMar>
          </w:tcPr>
          <w:p w14:paraId="0171F3ED" w14:textId="3BEB0F64" w:rsidR="6D5ED2DD" w:rsidRDefault="6D5ED2DD" w:rsidP="6D5ED2DD">
            <w:pPr>
              <w:spacing w:after="200" w:line="276" w:lineRule="auto"/>
            </w:pPr>
            <w:r w:rsidRPr="6D5ED2DD">
              <w:rPr>
                <w:rFonts w:ascii="Cambria" w:eastAsia="Cambria" w:hAnsi="Cambria" w:cs="Cambria"/>
                <w:sz w:val="22"/>
                <w:szCs w:val="22"/>
                <w:lang w:val="en-US"/>
              </w:rPr>
              <w:t>Robeco</w:t>
            </w:r>
          </w:p>
        </w:tc>
        <w:tc>
          <w:tcPr>
            <w:tcW w:w="1728" w:type="dxa"/>
            <w:tcMar>
              <w:left w:w="108" w:type="dxa"/>
              <w:right w:w="108" w:type="dxa"/>
            </w:tcMar>
          </w:tcPr>
          <w:p w14:paraId="19890372" w14:textId="486F001A" w:rsidR="6D5ED2DD" w:rsidRDefault="6D5ED2DD" w:rsidP="6D5ED2DD">
            <w:pPr>
              <w:spacing w:after="200" w:line="276" w:lineRule="auto"/>
            </w:pPr>
            <w:r w:rsidRPr="6D5ED2DD">
              <w:rPr>
                <w:rFonts w:ascii="Cambria" w:eastAsia="Cambria" w:hAnsi="Cambria" w:cs="Cambria"/>
                <w:sz w:val="22"/>
                <w:szCs w:val="22"/>
                <w:lang w:val="en-US"/>
              </w:rPr>
              <w:t>UBS AM</w:t>
            </w:r>
          </w:p>
        </w:tc>
        <w:tc>
          <w:tcPr>
            <w:tcW w:w="1728" w:type="dxa"/>
            <w:tcMar>
              <w:left w:w="108" w:type="dxa"/>
              <w:right w:w="108" w:type="dxa"/>
            </w:tcMar>
          </w:tcPr>
          <w:p w14:paraId="62587D9A" w14:textId="0F1031C9" w:rsidR="6D5ED2DD" w:rsidRDefault="6D5ED2DD" w:rsidP="6D5ED2DD">
            <w:pPr>
              <w:spacing w:after="200" w:line="276" w:lineRule="auto"/>
            </w:pPr>
            <w:r w:rsidRPr="6D5ED2DD">
              <w:rPr>
                <w:rFonts w:ascii="Cambria" w:eastAsia="Cambria" w:hAnsi="Cambria" w:cs="Cambria"/>
                <w:sz w:val="22"/>
                <w:szCs w:val="22"/>
                <w:lang w:val="en-US"/>
              </w:rPr>
              <w:t>Candriam</w:t>
            </w:r>
          </w:p>
        </w:tc>
      </w:tr>
      <w:tr w:rsidR="6D5ED2DD" w14:paraId="712B7F46" w14:textId="77777777" w:rsidTr="6D5ED2DD">
        <w:trPr>
          <w:trHeight w:val="300"/>
        </w:trPr>
        <w:tc>
          <w:tcPr>
            <w:tcW w:w="2340" w:type="dxa"/>
            <w:tcMar>
              <w:left w:w="108" w:type="dxa"/>
              <w:right w:w="108" w:type="dxa"/>
            </w:tcMar>
          </w:tcPr>
          <w:p w14:paraId="0D3373F5" w14:textId="05FA967A" w:rsidR="6D5ED2DD" w:rsidRDefault="6D5ED2DD" w:rsidP="6D5ED2DD">
            <w:pPr>
              <w:spacing w:after="200" w:line="276" w:lineRule="auto"/>
            </w:pPr>
            <w:r w:rsidRPr="6D5ED2DD">
              <w:rPr>
                <w:rFonts w:ascii="Cambria" w:eastAsia="Cambria" w:hAnsi="Cambria" w:cs="Cambria"/>
                <w:sz w:val="22"/>
                <w:szCs w:val="22"/>
                <w:lang w:val="en-US"/>
              </w:rPr>
              <w:t>Transparantie kostenstructuur</w:t>
            </w:r>
          </w:p>
        </w:tc>
        <w:tc>
          <w:tcPr>
            <w:tcW w:w="1728" w:type="dxa"/>
            <w:tcMar>
              <w:left w:w="108" w:type="dxa"/>
              <w:right w:w="108" w:type="dxa"/>
            </w:tcMar>
          </w:tcPr>
          <w:p w14:paraId="46D3C492" w14:textId="0053A206" w:rsidR="6D5ED2DD" w:rsidRDefault="6D5ED2DD" w:rsidP="6D5ED2DD">
            <w:pPr>
              <w:spacing w:after="200" w:line="276" w:lineRule="auto"/>
            </w:pPr>
            <w:r w:rsidRPr="6D5ED2DD">
              <w:rPr>
                <w:rFonts w:ascii="Cambria" w:eastAsia="Cambria" w:hAnsi="Cambria" w:cs="Cambria"/>
                <w:sz w:val="22"/>
                <w:szCs w:val="22"/>
                <w:lang w:val="en-US"/>
              </w:rPr>
              <w:t>Goed inzichtelijk in rapportages.</w:t>
            </w:r>
          </w:p>
        </w:tc>
        <w:tc>
          <w:tcPr>
            <w:tcW w:w="1845" w:type="dxa"/>
            <w:tcMar>
              <w:left w:w="108" w:type="dxa"/>
              <w:right w:w="108" w:type="dxa"/>
            </w:tcMar>
          </w:tcPr>
          <w:p w14:paraId="7BB81CAF" w14:textId="344EDA31" w:rsidR="6D5ED2DD" w:rsidRDefault="6D5ED2DD" w:rsidP="6D5ED2DD">
            <w:pPr>
              <w:spacing w:after="200" w:line="276" w:lineRule="auto"/>
            </w:pPr>
            <w:r w:rsidRPr="6D5ED2DD">
              <w:rPr>
                <w:rFonts w:ascii="Cambria" w:eastAsia="Cambria" w:hAnsi="Cambria" w:cs="Cambria"/>
                <w:sz w:val="22"/>
                <w:szCs w:val="22"/>
                <w:lang w:val="en-US"/>
              </w:rPr>
              <w:t>Transparant, publieke factsheets.</w:t>
            </w:r>
          </w:p>
        </w:tc>
        <w:tc>
          <w:tcPr>
            <w:tcW w:w="1728" w:type="dxa"/>
            <w:tcMar>
              <w:left w:w="108" w:type="dxa"/>
              <w:right w:w="108" w:type="dxa"/>
            </w:tcMar>
          </w:tcPr>
          <w:p w14:paraId="4036B6D3" w14:textId="4D3DF464" w:rsidR="6D5ED2DD" w:rsidRDefault="6D5ED2DD" w:rsidP="6D5ED2DD">
            <w:pPr>
              <w:spacing w:after="200" w:line="276" w:lineRule="auto"/>
            </w:pPr>
            <w:r w:rsidRPr="6D5ED2DD">
              <w:rPr>
                <w:rFonts w:ascii="Cambria" w:eastAsia="Cambria" w:hAnsi="Cambria" w:cs="Cambria"/>
                <w:sz w:val="22"/>
                <w:szCs w:val="22"/>
                <w:lang w:val="en-US"/>
              </w:rPr>
              <w:t>Redelijk, minder details publiek.</w:t>
            </w:r>
          </w:p>
        </w:tc>
        <w:tc>
          <w:tcPr>
            <w:tcW w:w="1728" w:type="dxa"/>
            <w:tcMar>
              <w:left w:w="108" w:type="dxa"/>
              <w:right w:w="108" w:type="dxa"/>
            </w:tcMar>
          </w:tcPr>
          <w:p w14:paraId="0ED837FE" w14:textId="5430E5F8" w:rsidR="6D5ED2DD" w:rsidRDefault="6D5ED2DD" w:rsidP="6D5ED2DD">
            <w:pPr>
              <w:spacing w:after="200" w:line="276" w:lineRule="auto"/>
            </w:pPr>
            <w:r w:rsidRPr="6D5ED2DD">
              <w:rPr>
                <w:rFonts w:ascii="Cambria" w:eastAsia="Cambria" w:hAnsi="Cambria" w:cs="Cambria"/>
                <w:sz w:val="22"/>
                <w:szCs w:val="22"/>
                <w:lang w:val="en-US"/>
              </w:rPr>
              <w:t>Duidelijk, per fonds vermeld.</w:t>
            </w:r>
          </w:p>
        </w:tc>
      </w:tr>
      <w:tr w:rsidR="6D5ED2DD" w14:paraId="0D94B330" w14:textId="77777777" w:rsidTr="6D5ED2DD">
        <w:trPr>
          <w:trHeight w:val="300"/>
        </w:trPr>
        <w:tc>
          <w:tcPr>
            <w:tcW w:w="2340" w:type="dxa"/>
            <w:tcMar>
              <w:left w:w="108" w:type="dxa"/>
              <w:right w:w="108" w:type="dxa"/>
            </w:tcMar>
          </w:tcPr>
          <w:p w14:paraId="31F8C7A5" w14:textId="2AF0A489" w:rsidR="6D5ED2DD" w:rsidRDefault="6D5ED2DD" w:rsidP="6D5ED2DD">
            <w:pPr>
              <w:spacing w:after="200" w:line="276" w:lineRule="auto"/>
            </w:pPr>
            <w:r w:rsidRPr="6D5ED2DD">
              <w:rPr>
                <w:rFonts w:ascii="Cambria" w:eastAsia="Cambria" w:hAnsi="Cambria" w:cs="Cambria"/>
                <w:sz w:val="22"/>
                <w:szCs w:val="22"/>
                <w:lang w:val="en-US"/>
              </w:rPr>
              <w:t>Onafhankelijk toezicht</w:t>
            </w:r>
          </w:p>
        </w:tc>
        <w:tc>
          <w:tcPr>
            <w:tcW w:w="1728" w:type="dxa"/>
            <w:tcMar>
              <w:left w:w="108" w:type="dxa"/>
              <w:right w:w="108" w:type="dxa"/>
            </w:tcMar>
          </w:tcPr>
          <w:p w14:paraId="1BAB33C9" w14:textId="1B1F04D8" w:rsidR="6D5ED2DD" w:rsidRDefault="6D5ED2DD" w:rsidP="6D5ED2DD">
            <w:pPr>
              <w:spacing w:after="200" w:line="276" w:lineRule="auto"/>
            </w:pPr>
            <w:r w:rsidRPr="6D5ED2DD">
              <w:rPr>
                <w:rFonts w:ascii="Cambria" w:eastAsia="Cambria" w:hAnsi="Cambria" w:cs="Cambria"/>
                <w:sz w:val="22"/>
                <w:szCs w:val="22"/>
                <w:lang w:val="en-US"/>
              </w:rPr>
              <w:t>Ja, audit- en risicocomités.</w:t>
            </w:r>
          </w:p>
        </w:tc>
        <w:tc>
          <w:tcPr>
            <w:tcW w:w="1845" w:type="dxa"/>
            <w:tcMar>
              <w:left w:w="108" w:type="dxa"/>
              <w:right w:w="108" w:type="dxa"/>
            </w:tcMar>
          </w:tcPr>
          <w:p w14:paraId="068FDB28" w14:textId="535B1A32" w:rsidR="6D5ED2DD" w:rsidRDefault="6D5ED2DD" w:rsidP="6D5ED2DD">
            <w:pPr>
              <w:spacing w:after="200" w:line="276" w:lineRule="auto"/>
            </w:pPr>
            <w:r w:rsidRPr="6D5ED2DD">
              <w:rPr>
                <w:rFonts w:ascii="Cambria" w:eastAsia="Cambria" w:hAnsi="Cambria" w:cs="Cambria"/>
                <w:sz w:val="22"/>
                <w:szCs w:val="22"/>
                <w:lang w:val="en-US"/>
              </w:rPr>
              <w:t>Ja, Supervisory Board + audit &amp; risk committee.</w:t>
            </w:r>
          </w:p>
        </w:tc>
        <w:tc>
          <w:tcPr>
            <w:tcW w:w="1728" w:type="dxa"/>
            <w:tcMar>
              <w:left w:w="108" w:type="dxa"/>
              <w:right w:w="108" w:type="dxa"/>
            </w:tcMar>
          </w:tcPr>
          <w:p w14:paraId="5A3482E7" w14:textId="51231FDE" w:rsidR="6D5ED2DD" w:rsidRDefault="6D5ED2DD" w:rsidP="6D5ED2DD">
            <w:pPr>
              <w:spacing w:after="200" w:line="276" w:lineRule="auto"/>
            </w:pPr>
            <w:r w:rsidRPr="6D5ED2DD">
              <w:rPr>
                <w:rFonts w:ascii="Cambria" w:eastAsia="Cambria" w:hAnsi="Cambria" w:cs="Cambria"/>
                <w:sz w:val="22"/>
                <w:szCs w:val="22"/>
              </w:rPr>
              <w:t>Ja, maar minder publiek toegelicht.</w:t>
            </w:r>
          </w:p>
        </w:tc>
        <w:tc>
          <w:tcPr>
            <w:tcW w:w="1728" w:type="dxa"/>
            <w:tcMar>
              <w:left w:w="108" w:type="dxa"/>
              <w:right w:w="108" w:type="dxa"/>
            </w:tcMar>
          </w:tcPr>
          <w:p w14:paraId="5C1E7AE1" w14:textId="48C7789D" w:rsidR="6D5ED2DD" w:rsidRDefault="6D5ED2DD" w:rsidP="6D5ED2DD">
            <w:pPr>
              <w:spacing w:after="200" w:line="276" w:lineRule="auto"/>
            </w:pPr>
            <w:r w:rsidRPr="6D5ED2DD">
              <w:rPr>
                <w:rFonts w:ascii="Cambria" w:eastAsia="Cambria" w:hAnsi="Cambria" w:cs="Cambria"/>
                <w:sz w:val="22"/>
                <w:szCs w:val="22"/>
                <w:lang w:val="en-US"/>
              </w:rPr>
              <w:t>Ja, Board of Directors + Strategic Committee.</w:t>
            </w:r>
          </w:p>
        </w:tc>
      </w:tr>
      <w:tr w:rsidR="6D5ED2DD" w14:paraId="42BB0D7C" w14:textId="77777777" w:rsidTr="6D5ED2DD">
        <w:trPr>
          <w:trHeight w:val="300"/>
        </w:trPr>
        <w:tc>
          <w:tcPr>
            <w:tcW w:w="2340" w:type="dxa"/>
            <w:tcMar>
              <w:left w:w="108" w:type="dxa"/>
              <w:right w:w="108" w:type="dxa"/>
            </w:tcMar>
          </w:tcPr>
          <w:p w14:paraId="2390DC0A" w14:textId="26ECD8D1" w:rsidR="6D5ED2DD" w:rsidRDefault="6D5ED2DD" w:rsidP="6D5ED2DD">
            <w:pPr>
              <w:spacing w:after="200" w:line="276" w:lineRule="auto"/>
            </w:pPr>
            <w:r w:rsidRPr="6D5ED2DD">
              <w:rPr>
                <w:rFonts w:ascii="Cambria" w:eastAsia="Cambria" w:hAnsi="Cambria" w:cs="Cambria"/>
                <w:sz w:val="22"/>
                <w:szCs w:val="22"/>
                <w:lang w:val="en-US"/>
              </w:rPr>
              <w:t>Voorkomen belangenverstrengeling</w:t>
            </w:r>
          </w:p>
        </w:tc>
        <w:tc>
          <w:tcPr>
            <w:tcW w:w="1728" w:type="dxa"/>
            <w:tcMar>
              <w:left w:w="108" w:type="dxa"/>
              <w:right w:w="108" w:type="dxa"/>
            </w:tcMar>
          </w:tcPr>
          <w:p w14:paraId="1B296D2F" w14:textId="239BDC63" w:rsidR="6D5ED2DD" w:rsidRDefault="6D5ED2DD" w:rsidP="6D5ED2DD">
            <w:pPr>
              <w:spacing w:after="200" w:line="276" w:lineRule="auto"/>
            </w:pPr>
            <w:r w:rsidRPr="6D5ED2DD">
              <w:rPr>
                <w:rFonts w:ascii="Cambria" w:eastAsia="Cambria" w:hAnsi="Cambria" w:cs="Cambria"/>
                <w:sz w:val="22"/>
                <w:szCs w:val="22"/>
                <w:lang w:val="en-US"/>
              </w:rPr>
              <w:t>Ja, beleid expliciet vermeld.</w:t>
            </w:r>
          </w:p>
        </w:tc>
        <w:tc>
          <w:tcPr>
            <w:tcW w:w="1845" w:type="dxa"/>
            <w:tcMar>
              <w:left w:w="108" w:type="dxa"/>
              <w:right w:w="108" w:type="dxa"/>
            </w:tcMar>
          </w:tcPr>
          <w:p w14:paraId="4B280FE7" w14:textId="6E97A345" w:rsidR="6D5ED2DD" w:rsidRDefault="6D5ED2DD" w:rsidP="6D5ED2DD">
            <w:pPr>
              <w:spacing w:after="200" w:line="276" w:lineRule="auto"/>
            </w:pPr>
            <w:r w:rsidRPr="6D5ED2DD">
              <w:rPr>
                <w:rFonts w:ascii="Cambria" w:eastAsia="Cambria" w:hAnsi="Cambria" w:cs="Cambria"/>
                <w:sz w:val="22"/>
                <w:szCs w:val="22"/>
                <w:lang w:val="en-US"/>
              </w:rPr>
              <w:t>Ja, onderdeel risk framework.</w:t>
            </w:r>
          </w:p>
        </w:tc>
        <w:tc>
          <w:tcPr>
            <w:tcW w:w="1728" w:type="dxa"/>
            <w:tcMar>
              <w:left w:w="108" w:type="dxa"/>
              <w:right w:w="108" w:type="dxa"/>
            </w:tcMar>
          </w:tcPr>
          <w:p w14:paraId="0EF6ACAD" w14:textId="5ECFE01E" w:rsidR="6D5ED2DD" w:rsidRDefault="6D5ED2DD" w:rsidP="6D5ED2DD">
            <w:pPr>
              <w:spacing w:after="200" w:line="276" w:lineRule="auto"/>
            </w:pPr>
            <w:r w:rsidRPr="6D5ED2DD">
              <w:rPr>
                <w:rFonts w:ascii="Cambria" w:eastAsia="Cambria" w:hAnsi="Cambria" w:cs="Cambria"/>
                <w:sz w:val="22"/>
                <w:szCs w:val="22"/>
                <w:lang w:val="en-US"/>
              </w:rPr>
              <w:t>Ja, via groepsbeleid UBS.</w:t>
            </w:r>
          </w:p>
        </w:tc>
        <w:tc>
          <w:tcPr>
            <w:tcW w:w="1728" w:type="dxa"/>
            <w:tcMar>
              <w:left w:w="108" w:type="dxa"/>
              <w:right w:w="108" w:type="dxa"/>
            </w:tcMar>
          </w:tcPr>
          <w:p w14:paraId="7464761D" w14:textId="51F5CC2E" w:rsidR="6D5ED2DD" w:rsidRDefault="6D5ED2DD" w:rsidP="6D5ED2DD">
            <w:pPr>
              <w:spacing w:after="200" w:line="276" w:lineRule="auto"/>
            </w:pPr>
            <w:r w:rsidRPr="6D5ED2DD">
              <w:rPr>
                <w:rFonts w:ascii="Cambria" w:eastAsia="Cambria" w:hAnsi="Cambria" w:cs="Cambria"/>
                <w:sz w:val="22"/>
                <w:szCs w:val="22"/>
              </w:rPr>
              <w:t>Ja, interne procedures en controle.</w:t>
            </w:r>
          </w:p>
        </w:tc>
      </w:tr>
      <w:tr w:rsidR="6D5ED2DD" w14:paraId="394F30ED" w14:textId="77777777" w:rsidTr="6D5ED2DD">
        <w:trPr>
          <w:trHeight w:val="300"/>
        </w:trPr>
        <w:tc>
          <w:tcPr>
            <w:tcW w:w="2340" w:type="dxa"/>
            <w:tcMar>
              <w:left w:w="108" w:type="dxa"/>
              <w:right w:w="108" w:type="dxa"/>
            </w:tcMar>
          </w:tcPr>
          <w:p w14:paraId="784D1448" w14:textId="208784D9" w:rsidR="6D5ED2DD" w:rsidRDefault="6D5ED2DD" w:rsidP="6D5ED2DD">
            <w:pPr>
              <w:spacing w:after="200" w:line="276" w:lineRule="auto"/>
            </w:pPr>
            <w:r w:rsidRPr="6D5ED2DD">
              <w:rPr>
                <w:rFonts w:ascii="Cambria" w:eastAsia="Cambria" w:hAnsi="Cambria" w:cs="Cambria"/>
                <w:sz w:val="22"/>
                <w:szCs w:val="22"/>
                <w:lang w:val="en-US"/>
              </w:rPr>
              <w:t>Communicatie met klanten/toezichthouders</w:t>
            </w:r>
          </w:p>
        </w:tc>
        <w:tc>
          <w:tcPr>
            <w:tcW w:w="1728" w:type="dxa"/>
            <w:tcMar>
              <w:left w:w="108" w:type="dxa"/>
              <w:right w:w="108" w:type="dxa"/>
            </w:tcMar>
          </w:tcPr>
          <w:p w14:paraId="145D3154" w14:textId="7BB6159F" w:rsidR="6D5ED2DD" w:rsidRDefault="6D5ED2DD" w:rsidP="6D5ED2DD">
            <w:pPr>
              <w:spacing w:after="200" w:line="276" w:lineRule="auto"/>
            </w:pPr>
            <w:r w:rsidRPr="6D5ED2DD">
              <w:rPr>
                <w:rFonts w:ascii="Cambria" w:eastAsia="Cambria" w:hAnsi="Cambria" w:cs="Cambria"/>
                <w:sz w:val="22"/>
                <w:szCs w:val="22"/>
                <w:lang w:val="en-US"/>
              </w:rPr>
              <w:t>Goed – ESG-rapportage.</w:t>
            </w:r>
          </w:p>
        </w:tc>
        <w:tc>
          <w:tcPr>
            <w:tcW w:w="1845" w:type="dxa"/>
            <w:tcMar>
              <w:left w:w="108" w:type="dxa"/>
              <w:right w:w="108" w:type="dxa"/>
            </w:tcMar>
          </w:tcPr>
          <w:p w14:paraId="56D95942" w14:textId="50129D10" w:rsidR="6D5ED2DD" w:rsidRDefault="6D5ED2DD" w:rsidP="6D5ED2DD">
            <w:pPr>
              <w:spacing w:after="200" w:line="276" w:lineRule="auto"/>
            </w:pPr>
            <w:r w:rsidRPr="6D5ED2DD">
              <w:rPr>
                <w:rFonts w:ascii="Cambria" w:eastAsia="Cambria" w:hAnsi="Cambria" w:cs="Cambria"/>
                <w:sz w:val="22"/>
                <w:szCs w:val="22"/>
                <w:lang w:val="en-US"/>
              </w:rPr>
              <w:t>Uitgebreid, open communicatie.</w:t>
            </w:r>
          </w:p>
        </w:tc>
        <w:tc>
          <w:tcPr>
            <w:tcW w:w="1728" w:type="dxa"/>
            <w:tcMar>
              <w:left w:w="108" w:type="dxa"/>
              <w:right w:w="108" w:type="dxa"/>
            </w:tcMar>
          </w:tcPr>
          <w:p w14:paraId="3F751E15" w14:textId="57D4FE05" w:rsidR="6D5ED2DD" w:rsidRDefault="6D5ED2DD" w:rsidP="6D5ED2DD">
            <w:pPr>
              <w:spacing w:after="200" w:line="276" w:lineRule="auto"/>
            </w:pPr>
            <w:r w:rsidRPr="6D5ED2DD">
              <w:rPr>
                <w:rFonts w:ascii="Cambria" w:eastAsia="Cambria" w:hAnsi="Cambria" w:cs="Cambria"/>
                <w:sz w:val="22"/>
                <w:szCs w:val="22"/>
                <w:lang w:val="en-US"/>
              </w:rPr>
              <w:t>Standaard.</w:t>
            </w:r>
          </w:p>
        </w:tc>
        <w:tc>
          <w:tcPr>
            <w:tcW w:w="1728" w:type="dxa"/>
            <w:tcMar>
              <w:left w:w="108" w:type="dxa"/>
              <w:right w:w="108" w:type="dxa"/>
            </w:tcMar>
          </w:tcPr>
          <w:p w14:paraId="51105789" w14:textId="243D187C" w:rsidR="6D5ED2DD" w:rsidRDefault="6D5ED2DD" w:rsidP="6D5ED2DD">
            <w:pPr>
              <w:spacing w:after="200" w:line="276" w:lineRule="auto"/>
            </w:pPr>
            <w:r w:rsidRPr="6D5ED2DD">
              <w:rPr>
                <w:rFonts w:ascii="Cambria" w:eastAsia="Cambria" w:hAnsi="Cambria" w:cs="Cambria"/>
                <w:sz w:val="22"/>
                <w:szCs w:val="22"/>
                <w:lang w:val="en-US"/>
              </w:rPr>
              <w:t>Transparant.</w:t>
            </w:r>
          </w:p>
        </w:tc>
      </w:tr>
      <w:tr w:rsidR="6D5ED2DD" w14:paraId="6CCBA92E" w14:textId="77777777" w:rsidTr="6D5ED2DD">
        <w:trPr>
          <w:trHeight w:val="300"/>
        </w:trPr>
        <w:tc>
          <w:tcPr>
            <w:tcW w:w="2340" w:type="dxa"/>
            <w:tcMar>
              <w:left w:w="108" w:type="dxa"/>
              <w:right w:w="108" w:type="dxa"/>
            </w:tcMar>
          </w:tcPr>
          <w:p w14:paraId="77E20909" w14:textId="72745AB9" w:rsidR="6D5ED2DD" w:rsidRDefault="6D5ED2DD" w:rsidP="6D5ED2DD">
            <w:pPr>
              <w:spacing w:after="200" w:line="276" w:lineRule="auto"/>
            </w:pPr>
            <w:r w:rsidRPr="6D5ED2DD">
              <w:rPr>
                <w:rFonts w:ascii="Cambria" w:eastAsia="Cambria" w:hAnsi="Cambria" w:cs="Cambria"/>
                <w:sz w:val="22"/>
                <w:szCs w:val="22"/>
                <w:lang w:val="en-US"/>
              </w:rPr>
              <w:t>Rapportage governance &amp; beleid</w:t>
            </w:r>
          </w:p>
        </w:tc>
        <w:tc>
          <w:tcPr>
            <w:tcW w:w="1728" w:type="dxa"/>
            <w:tcMar>
              <w:left w:w="108" w:type="dxa"/>
              <w:right w:w="108" w:type="dxa"/>
            </w:tcMar>
          </w:tcPr>
          <w:p w14:paraId="071B5F43" w14:textId="082BB493" w:rsidR="6D5ED2DD" w:rsidRDefault="6D5ED2DD" w:rsidP="6D5ED2DD">
            <w:pPr>
              <w:spacing w:after="200" w:line="276" w:lineRule="auto"/>
            </w:pPr>
            <w:r w:rsidRPr="6D5ED2DD">
              <w:rPr>
                <w:rFonts w:ascii="Cambria" w:eastAsia="Cambria" w:hAnsi="Cambria" w:cs="Cambria"/>
                <w:sz w:val="22"/>
                <w:szCs w:val="22"/>
                <w:lang w:val="en-US"/>
              </w:rPr>
              <w:t>Jaarlijks verslag.</w:t>
            </w:r>
          </w:p>
        </w:tc>
        <w:tc>
          <w:tcPr>
            <w:tcW w:w="1845" w:type="dxa"/>
            <w:tcMar>
              <w:left w:w="108" w:type="dxa"/>
              <w:right w:w="108" w:type="dxa"/>
            </w:tcMar>
          </w:tcPr>
          <w:p w14:paraId="75AFCB0E" w14:textId="64B7111C" w:rsidR="6D5ED2DD" w:rsidRDefault="6D5ED2DD" w:rsidP="6D5ED2DD">
            <w:pPr>
              <w:spacing w:after="200" w:line="276" w:lineRule="auto"/>
            </w:pPr>
            <w:r w:rsidRPr="6D5ED2DD">
              <w:rPr>
                <w:rFonts w:ascii="Cambria" w:eastAsia="Cambria" w:hAnsi="Cambria" w:cs="Cambria"/>
                <w:sz w:val="22"/>
                <w:szCs w:val="22"/>
                <w:lang w:val="en-US"/>
              </w:rPr>
              <w:t>Jaarlijks verslag + beleidsdocumenten online.</w:t>
            </w:r>
          </w:p>
        </w:tc>
        <w:tc>
          <w:tcPr>
            <w:tcW w:w="1728" w:type="dxa"/>
            <w:tcMar>
              <w:left w:w="108" w:type="dxa"/>
              <w:right w:w="108" w:type="dxa"/>
            </w:tcMar>
          </w:tcPr>
          <w:p w14:paraId="0F5D5C45" w14:textId="03CD3D60" w:rsidR="6D5ED2DD" w:rsidRDefault="6D5ED2DD" w:rsidP="6D5ED2DD">
            <w:pPr>
              <w:spacing w:after="200" w:line="276" w:lineRule="auto"/>
            </w:pPr>
            <w:r w:rsidRPr="6D5ED2DD">
              <w:rPr>
                <w:rFonts w:ascii="Cambria" w:eastAsia="Cambria" w:hAnsi="Cambria" w:cs="Cambria"/>
                <w:sz w:val="22"/>
                <w:szCs w:val="22"/>
                <w:lang w:val="en-US"/>
              </w:rPr>
              <w:t>Beperkt publiek.</w:t>
            </w:r>
          </w:p>
        </w:tc>
        <w:tc>
          <w:tcPr>
            <w:tcW w:w="1728" w:type="dxa"/>
            <w:tcMar>
              <w:left w:w="108" w:type="dxa"/>
              <w:right w:w="108" w:type="dxa"/>
            </w:tcMar>
          </w:tcPr>
          <w:p w14:paraId="604996D3" w14:textId="4E8DB7CF" w:rsidR="6D5ED2DD" w:rsidRDefault="6D5ED2DD" w:rsidP="6D5ED2DD">
            <w:pPr>
              <w:spacing w:after="200" w:line="276" w:lineRule="auto"/>
            </w:pPr>
            <w:r w:rsidRPr="6D5ED2DD">
              <w:rPr>
                <w:rFonts w:ascii="Cambria" w:eastAsia="Cambria" w:hAnsi="Cambria" w:cs="Cambria"/>
                <w:sz w:val="22"/>
                <w:szCs w:val="22"/>
                <w:lang w:val="en-US"/>
              </w:rPr>
              <w:t>Ja, in Integration Policy.</w:t>
            </w:r>
          </w:p>
        </w:tc>
      </w:tr>
    </w:tbl>
    <w:p w14:paraId="1734DB5D" w14:textId="08332BFC" w:rsidR="32F1AED3" w:rsidRDefault="2E391325" w:rsidP="6D5ED2DD">
      <w:pPr>
        <w:pStyle w:val="Heading3"/>
        <w:spacing w:before="200" w:after="0" w:line="276" w:lineRule="auto"/>
        <w:rPr>
          <w:rFonts w:ascii="Calibri" w:eastAsia="Calibri" w:hAnsi="Calibri" w:cs="Calibri"/>
          <w:b/>
          <w:bCs/>
          <w:color w:val="4F81BD"/>
          <w:sz w:val="22"/>
          <w:szCs w:val="22"/>
          <w:lang w:val="en-US"/>
        </w:rPr>
      </w:pPr>
      <w:bookmarkStart w:id="50" w:name="_Toc1438076380"/>
      <w:r w:rsidRPr="6D5ED2DD">
        <w:rPr>
          <w:rFonts w:ascii="Calibri" w:eastAsia="Calibri" w:hAnsi="Calibri" w:cs="Calibri"/>
          <w:b/>
          <w:bCs/>
          <w:color w:val="4F81BD"/>
          <w:sz w:val="22"/>
          <w:szCs w:val="22"/>
          <w:lang w:val="en-US"/>
        </w:rPr>
        <w:t>C. Bad Press / Reputatie</w:t>
      </w:r>
      <w:bookmarkEnd w:id="50"/>
    </w:p>
    <w:tbl>
      <w:tblPr>
        <w:tblW w:w="0" w:type="auto"/>
        <w:tblLook w:val="04A0" w:firstRow="1" w:lastRow="0" w:firstColumn="1" w:lastColumn="0" w:noHBand="0" w:noVBand="1"/>
      </w:tblPr>
      <w:tblGrid>
        <w:gridCol w:w="2880"/>
        <w:gridCol w:w="2880"/>
        <w:gridCol w:w="2880"/>
      </w:tblGrid>
      <w:tr w:rsidR="6D5ED2DD" w14:paraId="08627306" w14:textId="77777777" w:rsidTr="6D5ED2DD">
        <w:trPr>
          <w:trHeight w:val="300"/>
        </w:trPr>
        <w:tc>
          <w:tcPr>
            <w:tcW w:w="2880" w:type="dxa"/>
            <w:tcMar>
              <w:left w:w="108" w:type="dxa"/>
              <w:right w:w="108" w:type="dxa"/>
            </w:tcMar>
          </w:tcPr>
          <w:p w14:paraId="65172A00" w14:textId="2CEA9652" w:rsidR="6D5ED2DD" w:rsidRDefault="6D5ED2DD" w:rsidP="6D5ED2DD">
            <w:pPr>
              <w:spacing w:after="200" w:line="276" w:lineRule="auto"/>
            </w:pPr>
            <w:r w:rsidRPr="6D5ED2DD">
              <w:rPr>
                <w:rFonts w:ascii="Cambria" w:eastAsia="Cambria" w:hAnsi="Cambria" w:cs="Cambria"/>
                <w:sz w:val="22"/>
                <w:szCs w:val="22"/>
                <w:lang w:val="en-US"/>
              </w:rPr>
              <w:t>Bedrijf</w:t>
            </w:r>
          </w:p>
        </w:tc>
        <w:tc>
          <w:tcPr>
            <w:tcW w:w="2880" w:type="dxa"/>
            <w:tcMar>
              <w:left w:w="108" w:type="dxa"/>
              <w:right w:w="108" w:type="dxa"/>
            </w:tcMar>
          </w:tcPr>
          <w:p w14:paraId="3BFC8D0C" w14:textId="43EF7C3C" w:rsidR="6D5ED2DD" w:rsidRDefault="6D5ED2DD" w:rsidP="6D5ED2DD">
            <w:pPr>
              <w:spacing w:after="200" w:line="276" w:lineRule="auto"/>
            </w:pPr>
            <w:r w:rsidRPr="6D5ED2DD">
              <w:rPr>
                <w:rFonts w:ascii="Cambria" w:eastAsia="Cambria" w:hAnsi="Cambria" w:cs="Cambria"/>
                <w:sz w:val="22"/>
                <w:szCs w:val="22"/>
                <w:lang w:val="en-US"/>
              </w:rPr>
              <w:t>Bekende issues / reputatiepunten</w:t>
            </w:r>
          </w:p>
        </w:tc>
        <w:tc>
          <w:tcPr>
            <w:tcW w:w="2880" w:type="dxa"/>
            <w:tcMar>
              <w:left w:w="108" w:type="dxa"/>
              <w:right w:w="108" w:type="dxa"/>
            </w:tcMar>
          </w:tcPr>
          <w:p w14:paraId="7DEAF4E7" w14:textId="3795B4E9" w:rsidR="6D5ED2DD" w:rsidRDefault="6D5ED2DD" w:rsidP="6D5ED2DD">
            <w:pPr>
              <w:spacing w:after="200" w:line="276" w:lineRule="auto"/>
            </w:pPr>
            <w:r w:rsidRPr="6D5ED2DD">
              <w:rPr>
                <w:rFonts w:ascii="Cambria" w:eastAsia="Cambria" w:hAnsi="Cambria" w:cs="Cambria"/>
                <w:sz w:val="22"/>
                <w:szCs w:val="22"/>
                <w:lang w:val="en-US"/>
              </w:rPr>
              <w:t>Effect op score</w:t>
            </w:r>
          </w:p>
        </w:tc>
      </w:tr>
      <w:tr w:rsidR="6D5ED2DD" w14:paraId="35A5136C" w14:textId="77777777" w:rsidTr="6D5ED2DD">
        <w:trPr>
          <w:trHeight w:val="300"/>
        </w:trPr>
        <w:tc>
          <w:tcPr>
            <w:tcW w:w="2880" w:type="dxa"/>
            <w:tcMar>
              <w:left w:w="108" w:type="dxa"/>
              <w:right w:w="108" w:type="dxa"/>
            </w:tcMar>
          </w:tcPr>
          <w:p w14:paraId="3301F1A9" w14:textId="6C987A99" w:rsidR="6D5ED2DD" w:rsidRDefault="6D5ED2DD" w:rsidP="6D5ED2DD">
            <w:pPr>
              <w:spacing w:after="200" w:line="276" w:lineRule="auto"/>
            </w:pPr>
            <w:r w:rsidRPr="6D5ED2DD">
              <w:rPr>
                <w:rFonts w:ascii="Cambria" w:eastAsia="Cambria" w:hAnsi="Cambria" w:cs="Cambria"/>
                <w:sz w:val="22"/>
                <w:szCs w:val="22"/>
                <w:lang w:val="en-US"/>
              </w:rPr>
              <w:t>BNP Paribas AM</w:t>
            </w:r>
          </w:p>
        </w:tc>
        <w:tc>
          <w:tcPr>
            <w:tcW w:w="2880" w:type="dxa"/>
            <w:tcMar>
              <w:left w:w="108" w:type="dxa"/>
              <w:right w:w="108" w:type="dxa"/>
            </w:tcMar>
          </w:tcPr>
          <w:p w14:paraId="1C631B93" w14:textId="266BEAA0" w:rsidR="6D5ED2DD" w:rsidRDefault="6D5ED2DD" w:rsidP="6D5ED2DD">
            <w:pPr>
              <w:spacing w:after="200" w:line="276" w:lineRule="auto"/>
            </w:pPr>
            <w:r w:rsidRPr="6D5ED2DD">
              <w:rPr>
                <w:rFonts w:ascii="Cambria" w:eastAsia="Cambria" w:hAnsi="Cambria" w:cs="Cambria"/>
                <w:sz w:val="22"/>
                <w:szCs w:val="22"/>
              </w:rPr>
              <w:t>Geen directe schandalen; kleine kritiek op ESG-data-consistentie in sector.</w:t>
            </w:r>
          </w:p>
        </w:tc>
        <w:tc>
          <w:tcPr>
            <w:tcW w:w="2880" w:type="dxa"/>
            <w:tcMar>
              <w:left w:w="108" w:type="dxa"/>
              <w:right w:w="108" w:type="dxa"/>
            </w:tcMar>
          </w:tcPr>
          <w:p w14:paraId="3F7A3A6F" w14:textId="377022F4" w:rsidR="6D5ED2DD" w:rsidRDefault="6D5ED2DD" w:rsidP="6D5ED2DD">
            <w:pPr>
              <w:spacing w:after="200" w:line="276" w:lineRule="auto"/>
            </w:pPr>
            <w:r w:rsidRPr="6D5ED2DD">
              <w:rPr>
                <w:rFonts w:ascii="Cambria" w:eastAsia="Cambria" w:hAnsi="Cambria" w:cs="Cambria"/>
                <w:sz w:val="22"/>
                <w:szCs w:val="22"/>
                <w:lang w:val="en-US"/>
              </w:rPr>
              <w:t>Laag risico (score 7).</w:t>
            </w:r>
          </w:p>
        </w:tc>
      </w:tr>
      <w:tr w:rsidR="6D5ED2DD" w14:paraId="37503D15" w14:textId="77777777" w:rsidTr="6D5ED2DD">
        <w:trPr>
          <w:trHeight w:val="300"/>
        </w:trPr>
        <w:tc>
          <w:tcPr>
            <w:tcW w:w="2880" w:type="dxa"/>
            <w:tcMar>
              <w:left w:w="108" w:type="dxa"/>
              <w:right w:w="108" w:type="dxa"/>
            </w:tcMar>
          </w:tcPr>
          <w:p w14:paraId="13EC1E9E" w14:textId="6A163C6B" w:rsidR="6D5ED2DD" w:rsidRDefault="6D5ED2DD" w:rsidP="6D5ED2DD">
            <w:pPr>
              <w:spacing w:after="200" w:line="276" w:lineRule="auto"/>
            </w:pPr>
            <w:r w:rsidRPr="6D5ED2DD">
              <w:rPr>
                <w:rFonts w:ascii="Cambria" w:eastAsia="Cambria" w:hAnsi="Cambria" w:cs="Cambria"/>
                <w:sz w:val="22"/>
                <w:szCs w:val="22"/>
                <w:lang w:val="en-US"/>
              </w:rPr>
              <w:t>Robeco</w:t>
            </w:r>
          </w:p>
        </w:tc>
        <w:tc>
          <w:tcPr>
            <w:tcW w:w="2880" w:type="dxa"/>
            <w:tcMar>
              <w:left w:w="108" w:type="dxa"/>
              <w:right w:w="108" w:type="dxa"/>
            </w:tcMar>
          </w:tcPr>
          <w:p w14:paraId="330994B8" w14:textId="395DB5D6" w:rsidR="6D5ED2DD" w:rsidRDefault="6D5ED2DD" w:rsidP="6D5ED2DD">
            <w:pPr>
              <w:spacing w:after="200" w:line="276" w:lineRule="auto"/>
            </w:pPr>
            <w:r w:rsidRPr="6D5ED2DD">
              <w:rPr>
                <w:rFonts w:ascii="Cambria" w:eastAsia="Cambria" w:hAnsi="Cambria" w:cs="Cambria"/>
                <w:sz w:val="22"/>
                <w:szCs w:val="22"/>
              </w:rPr>
              <w:t>Geen relevante schandalen, goede reputatie in ESG.</w:t>
            </w:r>
          </w:p>
        </w:tc>
        <w:tc>
          <w:tcPr>
            <w:tcW w:w="2880" w:type="dxa"/>
            <w:tcMar>
              <w:left w:w="108" w:type="dxa"/>
              <w:right w:w="108" w:type="dxa"/>
            </w:tcMar>
          </w:tcPr>
          <w:p w14:paraId="1BF8AB8C" w14:textId="772BDB02" w:rsidR="6D5ED2DD" w:rsidRDefault="6D5ED2DD" w:rsidP="6D5ED2DD">
            <w:pPr>
              <w:spacing w:after="200" w:line="276" w:lineRule="auto"/>
            </w:pPr>
            <w:r w:rsidRPr="6D5ED2DD">
              <w:rPr>
                <w:rFonts w:ascii="Cambria" w:eastAsia="Cambria" w:hAnsi="Cambria" w:cs="Cambria"/>
                <w:sz w:val="22"/>
                <w:szCs w:val="22"/>
                <w:lang w:val="en-US"/>
              </w:rPr>
              <w:t>Sterk (score 8).</w:t>
            </w:r>
          </w:p>
        </w:tc>
      </w:tr>
      <w:tr w:rsidR="6D5ED2DD" w14:paraId="729642E0" w14:textId="77777777" w:rsidTr="6D5ED2DD">
        <w:trPr>
          <w:trHeight w:val="300"/>
        </w:trPr>
        <w:tc>
          <w:tcPr>
            <w:tcW w:w="2880" w:type="dxa"/>
            <w:tcMar>
              <w:left w:w="108" w:type="dxa"/>
              <w:right w:w="108" w:type="dxa"/>
            </w:tcMar>
          </w:tcPr>
          <w:p w14:paraId="15EF281D" w14:textId="1756D2FC" w:rsidR="6D5ED2DD" w:rsidRDefault="6D5ED2DD" w:rsidP="6D5ED2DD">
            <w:pPr>
              <w:spacing w:after="200" w:line="276" w:lineRule="auto"/>
            </w:pPr>
            <w:r w:rsidRPr="6D5ED2DD">
              <w:rPr>
                <w:rFonts w:ascii="Cambria" w:eastAsia="Cambria" w:hAnsi="Cambria" w:cs="Cambria"/>
                <w:sz w:val="22"/>
                <w:szCs w:val="22"/>
                <w:lang w:val="en-US"/>
              </w:rPr>
              <w:t>UBS AM</w:t>
            </w:r>
          </w:p>
        </w:tc>
        <w:tc>
          <w:tcPr>
            <w:tcW w:w="2880" w:type="dxa"/>
            <w:tcMar>
              <w:left w:w="108" w:type="dxa"/>
              <w:right w:w="108" w:type="dxa"/>
            </w:tcMar>
          </w:tcPr>
          <w:p w14:paraId="0C31A593" w14:textId="582D5533" w:rsidR="6D5ED2DD" w:rsidRDefault="6D5ED2DD" w:rsidP="6D5ED2DD">
            <w:pPr>
              <w:spacing w:after="200" w:line="276" w:lineRule="auto"/>
            </w:pPr>
            <w:r w:rsidRPr="6D5ED2DD">
              <w:rPr>
                <w:rFonts w:ascii="Cambria" w:eastAsia="Cambria" w:hAnsi="Cambria" w:cs="Cambria"/>
                <w:sz w:val="22"/>
                <w:szCs w:val="22"/>
              </w:rPr>
              <w:t>Enkele kritische berichten over ESG-leiderschap en vertrek duurzaamheids-hoofden.</w:t>
            </w:r>
          </w:p>
        </w:tc>
        <w:tc>
          <w:tcPr>
            <w:tcW w:w="2880" w:type="dxa"/>
            <w:tcMar>
              <w:left w:w="108" w:type="dxa"/>
              <w:right w:w="108" w:type="dxa"/>
            </w:tcMar>
          </w:tcPr>
          <w:p w14:paraId="782A4936" w14:textId="4BB648B3" w:rsidR="6D5ED2DD" w:rsidRDefault="6D5ED2DD" w:rsidP="6D5ED2DD">
            <w:pPr>
              <w:spacing w:after="200" w:line="276" w:lineRule="auto"/>
            </w:pPr>
            <w:r w:rsidRPr="6D5ED2DD">
              <w:rPr>
                <w:rFonts w:ascii="Cambria" w:eastAsia="Cambria" w:hAnsi="Cambria" w:cs="Cambria"/>
                <w:sz w:val="22"/>
                <w:szCs w:val="22"/>
                <w:lang w:val="en-US"/>
              </w:rPr>
              <w:t>Matig (score 6).</w:t>
            </w:r>
          </w:p>
        </w:tc>
      </w:tr>
      <w:tr w:rsidR="6D5ED2DD" w14:paraId="1C8A99B3" w14:textId="77777777" w:rsidTr="6D5ED2DD">
        <w:trPr>
          <w:trHeight w:val="300"/>
        </w:trPr>
        <w:tc>
          <w:tcPr>
            <w:tcW w:w="2880" w:type="dxa"/>
            <w:tcMar>
              <w:left w:w="108" w:type="dxa"/>
              <w:right w:w="108" w:type="dxa"/>
            </w:tcMar>
          </w:tcPr>
          <w:p w14:paraId="08A03A52" w14:textId="09EC7F96" w:rsidR="6D5ED2DD" w:rsidRDefault="6D5ED2DD" w:rsidP="6D5ED2DD">
            <w:pPr>
              <w:spacing w:after="200" w:line="276" w:lineRule="auto"/>
            </w:pPr>
            <w:r w:rsidRPr="6D5ED2DD">
              <w:rPr>
                <w:rFonts w:ascii="Cambria" w:eastAsia="Cambria" w:hAnsi="Cambria" w:cs="Cambria"/>
                <w:sz w:val="22"/>
                <w:szCs w:val="22"/>
                <w:lang w:val="en-US"/>
              </w:rPr>
              <w:t>Candriam</w:t>
            </w:r>
          </w:p>
        </w:tc>
        <w:tc>
          <w:tcPr>
            <w:tcW w:w="2880" w:type="dxa"/>
            <w:tcMar>
              <w:left w:w="108" w:type="dxa"/>
              <w:right w:w="108" w:type="dxa"/>
            </w:tcMar>
          </w:tcPr>
          <w:p w14:paraId="532E9FB6" w14:textId="64D303C1" w:rsidR="6D5ED2DD" w:rsidRDefault="6D5ED2DD" w:rsidP="6D5ED2DD">
            <w:pPr>
              <w:spacing w:after="200" w:line="276" w:lineRule="auto"/>
            </w:pPr>
            <w:r w:rsidRPr="6D5ED2DD">
              <w:rPr>
                <w:rFonts w:ascii="Cambria" w:eastAsia="Cambria" w:hAnsi="Cambria" w:cs="Cambria"/>
                <w:sz w:val="22"/>
                <w:szCs w:val="22"/>
                <w:lang w:val="en-US"/>
              </w:rPr>
              <w:t>Negatieve publiciteit rond investering in Kingspan (“greenwashing”).</w:t>
            </w:r>
          </w:p>
        </w:tc>
        <w:tc>
          <w:tcPr>
            <w:tcW w:w="2880" w:type="dxa"/>
            <w:tcMar>
              <w:left w:w="108" w:type="dxa"/>
              <w:right w:w="108" w:type="dxa"/>
            </w:tcMar>
          </w:tcPr>
          <w:p w14:paraId="364C8707" w14:textId="3392A697" w:rsidR="6D5ED2DD" w:rsidRDefault="6D5ED2DD" w:rsidP="6D5ED2DD">
            <w:pPr>
              <w:spacing w:after="200" w:line="276" w:lineRule="auto"/>
            </w:pPr>
            <w:r w:rsidRPr="6D5ED2DD">
              <w:rPr>
                <w:rFonts w:ascii="Cambria" w:eastAsia="Cambria" w:hAnsi="Cambria" w:cs="Cambria"/>
                <w:sz w:val="22"/>
                <w:szCs w:val="22"/>
                <w:lang w:val="en-US"/>
              </w:rPr>
              <w:t>Aanzienlijk effect (score 5).</w:t>
            </w:r>
          </w:p>
        </w:tc>
      </w:tr>
    </w:tbl>
    <w:p w14:paraId="3EA3FFE1" w14:textId="23C8B256" w:rsidR="32F1AED3" w:rsidRDefault="2E391325" w:rsidP="6D5ED2DD">
      <w:pPr>
        <w:pStyle w:val="Heading2"/>
        <w:spacing w:before="200" w:after="0" w:line="276" w:lineRule="auto"/>
        <w:rPr>
          <w:rFonts w:ascii="Calibri" w:eastAsia="Calibri" w:hAnsi="Calibri" w:cs="Calibri"/>
          <w:b/>
          <w:bCs/>
          <w:color w:val="4F81BD"/>
          <w:sz w:val="26"/>
          <w:szCs w:val="26"/>
          <w:lang w:val="en-US"/>
        </w:rPr>
      </w:pPr>
      <w:bookmarkStart w:id="51" w:name="_Toc1603880801"/>
      <w:r w:rsidRPr="6D5ED2DD">
        <w:rPr>
          <w:rFonts w:ascii="Calibri" w:eastAsia="Calibri" w:hAnsi="Calibri" w:cs="Calibri"/>
          <w:b/>
          <w:bCs/>
          <w:color w:val="4F81BD"/>
          <w:sz w:val="26"/>
          <w:szCs w:val="26"/>
          <w:lang w:val="en-US"/>
        </w:rPr>
        <w:t>3. Concluderend beoordelingsschema</w:t>
      </w:r>
      <w:bookmarkEnd w:id="51"/>
    </w:p>
    <w:tbl>
      <w:tblPr>
        <w:tblW w:w="0" w:type="auto"/>
        <w:tblLook w:val="04A0" w:firstRow="1" w:lastRow="0" w:firstColumn="1" w:lastColumn="0" w:noHBand="0" w:noVBand="1"/>
      </w:tblPr>
      <w:tblGrid>
        <w:gridCol w:w="1116"/>
        <w:gridCol w:w="1576"/>
        <w:gridCol w:w="1303"/>
        <w:gridCol w:w="715"/>
        <w:gridCol w:w="1143"/>
        <w:gridCol w:w="1062"/>
        <w:gridCol w:w="2111"/>
      </w:tblGrid>
      <w:tr w:rsidR="6D5ED2DD" w14:paraId="791CD5A4" w14:textId="77777777" w:rsidTr="6D5ED2DD">
        <w:trPr>
          <w:trHeight w:val="300"/>
        </w:trPr>
        <w:tc>
          <w:tcPr>
            <w:tcW w:w="1234" w:type="dxa"/>
            <w:tcMar>
              <w:left w:w="108" w:type="dxa"/>
              <w:right w:w="108" w:type="dxa"/>
            </w:tcMar>
          </w:tcPr>
          <w:p w14:paraId="095AAFC6" w14:textId="4436C0A0" w:rsidR="6D5ED2DD" w:rsidRDefault="6D5ED2DD" w:rsidP="6D5ED2DD">
            <w:pPr>
              <w:spacing w:after="200" w:line="276" w:lineRule="auto"/>
            </w:pPr>
            <w:r w:rsidRPr="6D5ED2DD">
              <w:rPr>
                <w:rFonts w:ascii="Cambria" w:eastAsia="Cambria" w:hAnsi="Cambria" w:cs="Cambria"/>
                <w:sz w:val="22"/>
                <w:szCs w:val="22"/>
                <w:lang w:val="en-US"/>
              </w:rPr>
              <w:t>Bedrijf</w:t>
            </w:r>
          </w:p>
        </w:tc>
        <w:tc>
          <w:tcPr>
            <w:tcW w:w="1389" w:type="dxa"/>
            <w:tcMar>
              <w:left w:w="108" w:type="dxa"/>
              <w:right w:w="108" w:type="dxa"/>
            </w:tcMar>
          </w:tcPr>
          <w:p w14:paraId="6D4D9DBC" w14:textId="5B5FC6C4" w:rsidR="6D5ED2DD" w:rsidRDefault="6D5ED2DD" w:rsidP="6D5ED2DD">
            <w:pPr>
              <w:spacing w:after="200" w:line="276" w:lineRule="auto"/>
            </w:pPr>
            <w:r w:rsidRPr="6D5ED2DD">
              <w:rPr>
                <w:rFonts w:ascii="Cambria" w:eastAsia="Cambria" w:hAnsi="Cambria" w:cs="Cambria"/>
                <w:sz w:val="22"/>
                <w:szCs w:val="22"/>
                <w:lang w:val="en-US"/>
              </w:rPr>
              <w:t>Duurzaamheid (1–10)</w:t>
            </w:r>
          </w:p>
        </w:tc>
        <w:tc>
          <w:tcPr>
            <w:tcW w:w="1234" w:type="dxa"/>
            <w:tcMar>
              <w:left w:w="108" w:type="dxa"/>
              <w:right w:w="108" w:type="dxa"/>
            </w:tcMar>
          </w:tcPr>
          <w:p w14:paraId="106F2577" w14:textId="23F32F6D" w:rsidR="6D5ED2DD" w:rsidRDefault="6D5ED2DD" w:rsidP="6D5ED2DD">
            <w:pPr>
              <w:spacing w:after="200" w:line="276" w:lineRule="auto"/>
            </w:pPr>
            <w:r w:rsidRPr="6D5ED2DD">
              <w:rPr>
                <w:rFonts w:ascii="Cambria" w:eastAsia="Cambria" w:hAnsi="Cambria" w:cs="Cambria"/>
                <w:sz w:val="22"/>
                <w:szCs w:val="22"/>
                <w:lang w:val="en-US"/>
              </w:rPr>
              <w:t>Governance (1–10)</w:t>
            </w:r>
          </w:p>
        </w:tc>
        <w:tc>
          <w:tcPr>
            <w:tcW w:w="1234" w:type="dxa"/>
            <w:tcMar>
              <w:left w:w="108" w:type="dxa"/>
              <w:right w:w="108" w:type="dxa"/>
            </w:tcMar>
          </w:tcPr>
          <w:p w14:paraId="3FB2B940" w14:textId="437D822F" w:rsidR="6D5ED2DD" w:rsidRDefault="6D5ED2DD" w:rsidP="6D5ED2DD">
            <w:pPr>
              <w:spacing w:after="200" w:line="276" w:lineRule="auto"/>
            </w:pPr>
            <w:r w:rsidRPr="6D5ED2DD">
              <w:rPr>
                <w:rFonts w:ascii="Cambria" w:eastAsia="Cambria" w:hAnsi="Cambria" w:cs="Cambria"/>
                <w:sz w:val="22"/>
                <w:szCs w:val="22"/>
                <w:lang w:val="en-US"/>
              </w:rPr>
              <w:t>Bad Press (1–10)</w:t>
            </w:r>
          </w:p>
        </w:tc>
        <w:tc>
          <w:tcPr>
            <w:tcW w:w="1234" w:type="dxa"/>
            <w:tcMar>
              <w:left w:w="108" w:type="dxa"/>
              <w:right w:w="108" w:type="dxa"/>
            </w:tcMar>
          </w:tcPr>
          <w:p w14:paraId="2298676D" w14:textId="055FEE1C" w:rsidR="6D5ED2DD" w:rsidRDefault="6D5ED2DD" w:rsidP="6D5ED2DD">
            <w:pPr>
              <w:spacing w:after="200" w:line="276" w:lineRule="auto"/>
            </w:pPr>
            <w:r w:rsidRPr="6D5ED2DD">
              <w:rPr>
                <w:rFonts w:ascii="Cambria" w:eastAsia="Cambria" w:hAnsi="Cambria" w:cs="Cambria"/>
                <w:sz w:val="22"/>
                <w:szCs w:val="22"/>
                <w:lang w:val="en-US"/>
              </w:rPr>
              <w:t>Weging (%)</w:t>
            </w:r>
          </w:p>
        </w:tc>
        <w:tc>
          <w:tcPr>
            <w:tcW w:w="1234" w:type="dxa"/>
            <w:tcMar>
              <w:left w:w="108" w:type="dxa"/>
              <w:right w:w="108" w:type="dxa"/>
            </w:tcMar>
          </w:tcPr>
          <w:p w14:paraId="7A85814F" w14:textId="70097AFB" w:rsidR="6D5ED2DD" w:rsidRDefault="6D5ED2DD" w:rsidP="6D5ED2DD">
            <w:pPr>
              <w:spacing w:after="200" w:line="276" w:lineRule="auto"/>
            </w:pPr>
            <w:r w:rsidRPr="6D5ED2DD">
              <w:rPr>
                <w:rFonts w:ascii="Cambria" w:eastAsia="Cambria" w:hAnsi="Cambria" w:cs="Cambria"/>
                <w:sz w:val="22"/>
                <w:szCs w:val="22"/>
                <w:lang w:val="en-US"/>
              </w:rPr>
              <w:t>Gewogen score</w:t>
            </w:r>
          </w:p>
        </w:tc>
        <w:tc>
          <w:tcPr>
            <w:tcW w:w="1936" w:type="dxa"/>
            <w:tcMar>
              <w:left w:w="108" w:type="dxa"/>
              <w:right w:w="108" w:type="dxa"/>
            </w:tcMar>
          </w:tcPr>
          <w:p w14:paraId="1AE0FB8A" w14:textId="24377C45" w:rsidR="6D5ED2DD" w:rsidRDefault="6D5ED2DD" w:rsidP="6D5ED2DD">
            <w:pPr>
              <w:spacing w:after="200" w:line="276" w:lineRule="auto"/>
            </w:pPr>
            <w:r w:rsidRPr="6D5ED2DD">
              <w:rPr>
                <w:rFonts w:ascii="Cambria" w:eastAsia="Cambria" w:hAnsi="Cambria" w:cs="Cambria"/>
                <w:sz w:val="22"/>
                <w:szCs w:val="22"/>
                <w:lang w:val="en-US"/>
              </w:rPr>
              <w:t>Samenvatting</w:t>
            </w:r>
          </w:p>
        </w:tc>
      </w:tr>
      <w:tr w:rsidR="6D5ED2DD" w14:paraId="20820CF5" w14:textId="77777777" w:rsidTr="6D5ED2DD">
        <w:trPr>
          <w:trHeight w:val="300"/>
        </w:trPr>
        <w:tc>
          <w:tcPr>
            <w:tcW w:w="1234" w:type="dxa"/>
            <w:tcMar>
              <w:left w:w="108" w:type="dxa"/>
              <w:right w:w="108" w:type="dxa"/>
            </w:tcMar>
          </w:tcPr>
          <w:p w14:paraId="19EF4438" w14:textId="5EEEDD79" w:rsidR="6D5ED2DD" w:rsidRDefault="6D5ED2DD" w:rsidP="6D5ED2DD">
            <w:pPr>
              <w:spacing w:after="200" w:line="276" w:lineRule="auto"/>
            </w:pPr>
            <w:r w:rsidRPr="6D5ED2DD">
              <w:rPr>
                <w:rFonts w:ascii="Cambria" w:eastAsia="Cambria" w:hAnsi="Cambria" w:cs="Cambria"/>
                <w:sz w:val="22"/>
                <w:szCs w:val="22"/>
                <w:lang w:val="en-US"/>
              </w:rPr>
              <w:t>BNP Paribas AM</w:t>
            </w:r>
          </w:p>
        </w:tc>
        <w:tc>
          <w:tcPr>
            <w:tcW w:w="1389" w:type="dxa"/>
            <w:tcMar>
              <w:left w:w="108" w:type="dxa"/>
              <w:right w:w="108" w:type="dxa"/>
            </w:tcMar>
          </w:tcPr>
          <w:p w14:paraId="1E3A59DF" w14:textId="61D3CD8F" w:rsidR="6D5ED2DD" w:rsidRDefault="6D5ED2DD" w:rsidP="6D5ED2DD">
            <w:pPr>
              <w:spacing w:after="200" w:line="276" w:lineRule="auto"/>
            </w:pPr>
            <w:r w:rsidRPr="6D5ED2DD">
              <w:rPr>
                <w:rFonts w:ascii="Cambria" w:eastAsia="Cambria" w:hAnsi="Cambria" w:cs="Cambria"/>
                <w:sz w:val="22"/>
                <w:szCs w:val="22"/>
                <w:lang w:val="en-US"/>
              </w:rPr>
              <w:t>8.5</w:t>
            </w:r>
          </w:p>
        </w:tc>
        <w:tc>
          <w:tcPr>
            <w:tcW w:w="1234" w:type="dxa"/>
            <w:tcMar>
              <w:left w:w="108" w:type="dxa"/>
              <w:right w:w="108" w:type="dxa"/>
            </w:tcMar>
          </w:tcPr>
          <w:p w14:paraId="60274D01" w14:textId="5CF03401" w:rsidR="6D5ED2DD" w:rsidRDefault="6D5ED2DD" w:rsidP="6D5ED2DD">
            <w:pPr>
              <w:spacing w:after="200" w:line="276" w:lineRule="auto"/>
            </w:pPr>
            <w:r w:rsidRPr="6D5ED2DD">
              <w:rPr>
                <w:rFonts w:ascii="Cambria" w:eastAsia="Cambria" w:hAnsi="Cambria" w:cs="Cambria"/>
                <w:sz w:val="22"/>
                <w:szCs w:val="22"/>
                <w:lang w:val="en-US"/>
              </w:rPr>
              <w:t>7.5</w:t>
            </w:r>
          </w:p>
        </w:tc>
        <w:tc>
          <w:tcPr>
            <w:tcW w:w="1234" w:type="dxa"/>
            <w:tcMar>
              <w:left w:w="108" w:type="dxa"/>
              <w:right w:w="108" w:type="dxa"/>
            </w:tcMar>
          </w:tcPr>
          <w:p w14:paraId="0DDBD16B" w14:textId="2C9B12D8" w:rsidR="6D5ED2DD" w:rsidRDefault="6D5ED2DD" w:rsidP="6D5ED2DD">
            <w:pPr>
              <w:spacing w:after="200" w:line="276" w:lineRule="auto"/>
            </w:pPr>
            <w:r w:rsidRPr="6D5ED2DD">
              <w:rPr>
                <w:rFonts w:ascii="Cambria" w:eastAsia="Cambria" w:hAnsi="Cambria" w:cs="Cambria"/>
                <w:sz w:val="22"/>
                <w:szCs w:val="22"/>
                <w:lang w:val="en-US"/>
              </w:rPr>
              <w:t>7.0</w:t>
            </w:r>
          </w:p>
        </w:tc>
        <w:tc>
          <w:tcPr>
            <w:tcW w:w="1234" w:type="dxa"/>
            <w:tcMar>
              <w:left w:w="108" w:type="dxa"/>
              <w:right w:w="108" w:type="dxa"/>
            </w:tcMar>
          </w:tcPr>
          <w:p w14:paraId="4EA4DF1F" w14:textId="48D2456A" w:rsidR="6D5ED2DD" w:rsidRDefault="6D5ED2DD" w:rsidP="6D5ED2DD">
            <w:pPr>
              <w:spacing w:after="200" w:line="276" w:lineRule="auto"/>
            </w:pPr>
            <w:r w:rsidRPr="6D5ED2DD">
              <w:rPr>
                <w:rFonts w:ascii="Cambria" w:eastAsia="Cambria" w:hAnsi="Cambria" w:cs="Cambria"/>
                <w:sz w:val="22"/>
                <w:szCs w:val="22"/>
                <w:lang w:val="en-US"/>
              </w:rPr>
              <w:t>40/40/20</w:t>
            </w:r>
          </w:p>
        </w:tc>
        <w:tc>
          <w:tcPr>
            <w:tcW w:w="1234" w:type="dxa"/>
            <w:tcMar>
              <w:left w:w="108" w:type="dxa"/>
              <w:right w:w="108" w:type="dxa"/>
            </w:tcMar>
          </w:tcPr>
          <w:p w14:paraId="1CA2E141" w14:textId="45C40EDA" w:rsidR="6D5ED2DD" w:rsidRDefault="6D5ED2DD" w:rsidP="6D5ED2DD">
            <w:pPr>
              <w:spacing w:after="200" w:line="276" w:lineRule="auto"/>
            </w:pPr>
            <w:r w:rsidRPr="6D5ED2DD">
              <w:rPr>
                <w:rFonts w:ascii="Cambria" w:eastAsia="Cambria" w:hAnsi="Cambria" w:cs="Cambria"/>
                <w:sz w:val="22"/>
                <w:szCs w:val="22"/>
                <w:lang w:val="en-US"/>
              </w:rPr>
              <w:t>7.9</w:t>
            </w:r>
          </w:p>
        </w:tc>
        <w:tc>
          <w:tcPr>
            <w:tcW w:w="1936" w:type="dxa"/>
            <w:tcMar>
              <w:left w:w="108" w:type="dxa"/>
              <w:right w:w="108" w:type="dxa"/>
            </w:tcMar>
          </w:tcPr>
          <w:p w14:paraId="693223E5" w14:textId="04966E6F" w:rsidR="6D5ED2DD" w:rsidRDefault="6D5ED2DD" w:rsidP="6D5ED2DD">
            <w:pPr>
              <w:spacing w:after="200" w:line="276" w:lineRule="auto"/>
            </w:pPr>
            <w:r w:rsidRPr="6D5ED2DD">
              <w:rPr>
                <w:rFonts w:ascii="Cambria" w:eastAsia="Cambria" w:hAnsi="Cambria" w:cs="Cambria"/>
                <w:sz w:val="22"/>
                <w:szCs w:val="22"/>
              </w:rPr>
              <w:t>Sterk ESG-beleid, goede governance, weinig reputatieproblemen.</w:t>
            </w:r>
          </w:p>
        </w:tc>
      </w:tr>
      <w:tr w:rsidR="6D5ED2DD" w14:paraId="1731FF9E" w14:textId="77777777" w:rsidTr="6D5ED2DD">
        <w:trPr>
          <w:trHeight w:val="300"/>
        </w:trPr>
        <w:tc>
          <w:tcPr>
            <w:tcW w:w="1234" w:type="dxa"/>
            <w:tcMar>
              <w:left w:w="108" w:type="dxa"/>
              <w:right w:w="108" w:type="dxa"/>
            </w:tcMar>
          </w:tcPr>
          <w:p w14:paraId="0BD6F38C" w14:textId="71BEEC3C" w:rsidR="6D5ED2DD" w:rsidRDefault="6D5ED2DD" w:rsidP="6D5ED2DD">
            <w:pPr>
              <w:spacing w:after="200" w:line="276" w:lineRule="auto"/>
            </w:pPr>
            <w:r w:rsidRPr="6D5ED2DD">
              <w:rPr>
                <w:rFonts w:ascii="Cambria" w:eastAsia="Cambria" w:hAnsi="Cambria" w:cs="Cambria"/>
                <w:sz w:val="22"/>
                <w:szCs w:val="22"/>
                <w:lang w:val="en-US"/>
              </w:rPr>
              <w:t>Robeco</w:t>
            </w:r>
          </w:p>
        </w:tc>
        <w:tc>
          <w:tcPr>
            <w:tcW w:w="1389" w:type="dxa"/>
            <w:tcMar>
              <w:left w:w="108" w:type="dxa"/>
              <w:right w:w="108" w:type="dxa"/>
            </w:tcMar>
          </w:tcPr>
          <w:p w14:paraId="52A6178C" w14:textId="6E7B281A" w:rsidR="6D5ED2DD" w:rsidRDefault="6D5ED2DD" w:rsidP="6D5ED2DD">
            <w:pPr>
              <w:spacing w:after="200" w:line="276" w:lineRule="auto"/>
            </w:pPr>
            <w:r w:rsidRPr="6D5ED2DD">
              <w:rPr>
                <w:rFonts w:ascii="Cambria" w:eastAsia="Cambria" w:hAnsi="Cambria" w:cs="Cambria"/>
                <w:sz w:val="22"/>
                <w:szCs w:val="22"/>
                <w:lang w:val="en-US"/>
              </w:rPr>
              <w:t>9.0</w:t>
            </w:r>
          </w:p>
        </w:tc>
        <w:tc>
          <w:tcPr>
            <w:tcW w:w="1234" w:type="dxa"/>
            <w:tcMar>
              <w:left w:w="108" w:type="dxa"/>
              <w:right w:w="108" w:type="dxa"/>
            </w:tcMar>
          </w:tcPr>
          <w:p w14:paraId="2370C7FB" w14:textId="40C189AE" w:rsidR="6D5ED2DD" w:rsidRDefault="6D5ED2DD" w:rsidP="6D5ED2DD">
            <w:pPr>
              <w:spacing w:after="200" w:line="276" w:lineRule="auto"/>
            </w:pPr>
            <w:r w:rsidRPr="6D5ED2DD">
              <w:rPr>
                <w:rFonts w:ascii="Cambria" w:eastAsia="Cambria" w:hAnsi="Cambria" w:cs="Cambria"/>
                <w:sz w:val="22"/>
                <w:szCs w:val="22"/>
                <w:lang w:val="en-US"/>
              </w:rPr>
              <w:t>8.5</w:t>
            </w:r>
          </w:p>
        </w:tc>
        <w:tc>
          <w:tcPr>
            <w:tcW w:w="1234" w:type="dxa"/>
            <w:tcMar>
              <w:left w:w="108" w:type="dxa"/>
              <w:right w:w="108" w:type="dxa"/>
            </w:tcMar>
          </w:tcPr>
          <w:p w14:paraId="50D30DC2" w14:textId="0A709B70" w:rsidR="6D5ED2DD" w:rsidRDefault="6D5ED2DD" w:rsidP="6D5ED2DD">
            <w:pPr>
              <w:spacing w:after="200" w:line="276" w:lineRule="auto"/>
            </w:pPr>
            <w:r w:rsidRPr="6D5ED2DD">
              <w:rPr>
                <w:rFonts w:ascii="Cambria" w:eastAsia="Cambria" w:hAnsi="Cambria" w:cs="Cambria"/>
                <w:sz w:val="22"/>
                <w:szCs w:val="22"/>
                <w:lang w:val="en-US"/>
              </w:rPr>
              <w:t>8.0</w:t>
            </w:r>
          </w:p>
        </w:tc>
        <w:tc>
          <w:tcPr>
            <w:tcW w:w="1234" w:type="dxa"/>
            <w:tcMar>
              <w:left w:w="108" w:type="dxa"/>
              <w:right w:w="108" w:type="dxa"/>
            </w:tcMar>
          </w:tcPr>
          <w:p w14:paraId="75F7A3A1" w14:textId="2E14831C" w:rsidR="6D5ED2DD" w:rsidRDefault="6D5ED2DD" w:rsidP="6D5ED2DD">
            <w:pPr>
              <w:spacing w:after="200" w:line="276" w:lineRule="auto"/>
            </w:pPr>
            <w:r w:rsidRPr="6D5ED2DD">
              <w:rPr>
                <w:rFonts w:ascii="Cambria" w:eastAsia="Cambria" w:hAnsi="Cambria" w:cs="Cambria"/>
                <w:sz w:val="22"/>
                <w:szCs w:val="22"/>
                <w:lang w:val="en-US"/>
              </w:rPr>
              <w:t>40/40/20</w:t>
            </w:r>
          </w:p>
        </w:tc>
        <w:tc>
          <w:tcPr>
            <w:tcW w:w="1234" w:type="dxa"/>
            <w:tcMar>
              <w:left w:w="108" w:type="dxa"/>
              <w:right w:w="108" w:type="dxa"/>
            </w:tcMar>
          </w:tcPr>
          <w:p w14:paraId="1A2D7F65" w14:textId="75EEF6AE" w:rsidR="6D5ED2DD" w:rsidRDefault="6D5ED2DD" w:rsidP="6D5ED2DD">
            <w:pPr>
              <w:spacing w:after="200" w:line="276" w:lineRule="auto"/>
            </w:pPr>
            <w:r w:rsidRPr="6D5ED2DD">
              <w:rPr>
                <w:rFonts w:ascii="Cambria" w:eastAsia="Cambria" w:hAnsi="Cambria" w:cs="Cambria"/>
                <w:sz w:val="22"/>
                <w:szCs w:val="22"/>
                <w:lang w:val="en-US"/>
              </w:rPr>
              <w:t>8.5</w:t>
            </w:r>
          </w:p>
        </w:tc>
        <w:tc>
          <w:tcPr>
            <w:tcW w:w="1936" w:type="dxa"/>
            <w:tcMar>
              <w:left w:w="108" w:type="dxa"/>
              <w:right w:w="108" w:type="dxa"/>
            </w:tcMar>
          </w:tcPr>
          <w:p w14:paraId="1C49512F" w14:textId="4F3808A0" w:rsidR="6D5ED2DD" w:rsidRDefault="6D5ED2DD" w:rsidP="6D5ED2DD">
            <w:pPr>
              <w:spacing w:after="200" w:line="276" w:lineRule="auto"/>
            </w:pPr>
            <w:r w:rsidRPr="6D5ED2DD">
              <w:rPr>
                <w:rFonts w:ascii="Cambria" w:eastAsia="Cambria" w:hAnsi="Cambria" w:cs="Cambria"/>
                <w:sz w:val="22"/>
                <w:szCs w:val="22"/>
              </w:rPr>
              <w:t>Uitstekend geïntegreerde ESG-aanpak, hoge transparantie.</w:t>
            </w:r>
          </w:p>
        </w:tc>
      </w:tr>
      <w:tr w:rsidR="6D5ED2DD" w14:paraId="105FF650" w14:textId="77777777" w:rsidTr="6D5ED2DD">
        <w:trPr>
          <w:trHeight w:val="300"/>
        </w:trPr>
        <w:tc>
          <w:tcPr>
            <w:tcW w:w="1234" w:type="dxa"/>
            <w:tcMar>
              <w:left w:w="108" w:type="dxa"/>
              <w:right w:w="108" w:type="dxa"/>
            </w:tcMar>
          </w:tcPr>
          <w:p w14:paraId="3E0D5658" w14:textId="5FF09F50" w:rsidR="6D5ED2DD" w:rsidRDefault="6D5ED2DD" w:rsidP="6D5ED2DD">
            <w:pPr>
              <w:spacing w:after="200" w:line="276" w:lineRule="auto"/>
            </w:pPr>
            <w:r w:rsidRPr="6D5ED2DD">
              <w:rPr>
                <w:rFonts w:ascii="Cambria" w:eastAsia="Cambria" w:hAnsi="Cambria" w:cs="Cambria"/>
                <w:sz w:val="22"/>
                <w:szCs w:val="22"/>
                <w:lang w:val="en-US"/>
              </w:rPr>
              <w:t>UBS AM</w:t>
            </w:r>
          </w:p>
        </w:tc>
        <w:tc>
          <w:tcPr>
            <w:tcW w:w="1389" w:type="dxa"/>
            <w:tcMar>
              <w:left w:w="108" w:type="dxa"/>
              <w:right w:w="108" w:type="dxa"/>
            </w:tcMar>
          </w:tcPr>
          <w:p w14:paraId="2D726694" w14:textId="59607284" w:rsidR="6D5ED2DD" w:rsidRDefault="6D5ED2DD" w:rsidP="6D5ED2DD">
            <w:pPr>
              <w:spacing w:after="200" w:line="276" w:lineRule="auto"/>
            </w:pPr>
            <w:r w:rsidRPr="6D5ED2DD">
              <w:rPr>
                <w:rFonts w:ascii="Cambria" w:eastAsia="Cambria" w:hAnsi="Cambria" w:cs="Cambria"/>
                <w:sz w:val="22"/>
                <w:szCs w:val="22"/>
                <w:lang w:val="en-US"/>
              </w:rPr>
              <w:t>7.0</w:t>
            </w:r>
          </w:p>
        </w:tc>
        <w:tc>
          <w:tcPr>
            <w:tcW w:w="1234" w:type="dxa"/>
            <w:tcMar>
              <w:left w:w="108" w:type="dxa"/>
              <w:right w:w="108" w:type="dxa"/>
            </w:tcMar>
          </w:tcPr>
          <w:p w14:paraId="12C30BBB" w14:textId="0C3FFDC4" w:rsidR="6D5ED2DD" w:rsidRDefault="6D5ED2DD" w:rsidP="6D5ED2DD">
            <w:pPr>
              <w:spacing w:after="200" w:line="276" w:lineRule="auto"/>
            </w:pPr>
            <w:r w:rsidRPr="6D5ED2DD">
              <w:rPr>
                <w:rFonts w:ascii="Cambria" w:eastAsia="Cambria" w:hAnsi="Cambria" w:cs="Cambria"/>
                <w:sz w:val="22"/>
                <w:szCs w:val="22"/>
                <w:lang w:val="en-US"/>
              </w:rPr>
              <w:t>6.5</w:t>
            </w:r>
          </w:p>
        </w:tc>
        <w:tc>
          <w:tcPr>
            <w:tcW w:w="1234" w:type="dxa"/>
            <w:tcMar>
              <w:left w:w="108" w:type="dxa"/>
              <w:right w:w="108" w:type="dxa"/>
            </w:tcMar>
          </w:tcPr>
          <w:p w14:paraId="659C5C52" w14:textId="5192667B" w:rsidR="6D5ED2DD" w:rsidRDefault="6D5ED2DD" w:rsidP="6D5ED2DD">
            <w:pPr>
              <w:spacing w:after="200" w:line="276" w:lineRule="auto"/>
            </w:pPr>
            <w:r w:rsidRPr="6D5ED2DD">
              <w:rPr>
                <w:rFonts w:ascii="Cambria" w:eastAsia="Cambria" w:hAnsi="Cambria" w:cs="Cambria"/>
                <w:sz w:val="22"/>
                <w:szCs w:val="22"/>
                <w:lang w:val="en-US"/>
              </w:rPr>
              <w:t>6.0</w:t>
            </w:r>
          </w:p>
        </w:tc>
        <w:tc>
          <w:tcPr>
            <w:tcW w:w="1234" w:type="dxa"/>
            <w:tcMar>
              <w:left w:w="108" w:type="dxa"/>
              <w:right w:w="108" w:type="dxa"/>
            </w:tcMar>
          </w:tcPr>
          <w:p w14:paraId="19BBDC3F" w14:textId="44D80EEA" w:rsidR="6D5ED2DD" w:rsidRDefault="6D5ED2DD" w:rsidP="6D5ED2DD">
            <w:pPr>
              <w:spacing w:after="200" w:line="276" w:lineRule="auto"/>
            </w:pPr>
            <w:r w:rsidRPr="6D5ED2DD">
              <w:rPr>
                <w:rFonts w:ascii="Cambria" w:eastAsia="Cambria" w:hAnsi="Cambria" w:cs="Cambria"/>
                <w:sz w:val="22"/>
                <w:szCs w:val="22"/>
                <w:lang w:val="en-US"/>
              </w:rPr>
              <w:t>40/40/20</w:t>
            </w:r>
          </w:p>
        </w:tc>
        <w:tc>
          <w:tcPr>
            <w:tcW w:w="1234" w:type="dxa"/>
            <w:tcMar>
              <w:left w:w="108" w:type="dxa"/>
              <w:right w:w="108" w:type="dxa"/>
            </w:tcMar>
          </w:tcPr>
          <w:p w14:paraId="3B0096FB" w14:textId="468651CD" w:rsidR="6D5ED2DD" w:rsidRDefault="6D5ED2DD" w:rsidP="6D5ED2DD">
            <w:pPr>
              <w:spacing w:after="200" w:line="276" w:lineRule="auto"/>
            </w:pPr>
            <w:r w:rsidRPr="6D5ED2DD">
              <w:rPr>
                <w:rFonts w:ascii="Cambria" w:eastAsia="Cambria" w:hAnsi="Cambria" w:cs="Cambria"/>
                <w:sz w:val="22"/>
                <w:szCs w:val="22"/>
                <w:lang w:val="en-US"/>
              </w:rPr>
              <w:t>6.6</w:t>
            </w:r>
          </w:p>
        </w:tc>
        <w:tc>
          <w:tcPr>
            <w:tcW w:w="1936" w:type="dxa"/>
            <w:tcMar>
              <w:left w:w="108" w:type="dxa"/>
              <w:right w:w="108" w:type="dxa"/>
            </w:tcMar>
          </w:tcPr>
          <w:p w14:paraId="68800E9C" w14:textId="76C916FC" w:rsidR="6D5ED2DD" w:rsidRDefault="6D5ED2DD" w:rsidP="6D5ED2DD">
            <w:pPr>
              <w:spacing w:after="200" w:line="276" w:lineRule="auto"/>
            </w:pPr>
            <w:r w:rsidRPr="6D5ED2DD">
              <w:rPr>
                <w:rFonts w:ascii="Cambria" w:eastAsia="Cambria" w:hAnsi="Cambria" w:cs="Cambria"/>
                <w:sz w:val="22"/>
                <w:szCs w:val="22"/>
              </w:rPr>
              <w:t>ESG-beleid aanwezig maar minder diep en transparant.</w:t>
            </w:r>
          </w:p>
        </w:tc>
      </w:tr>
      <w:tr w:rsidR="6D5ED2DD" w14:paraId="19A6383E" w14:textId="77777777" w:rsidTr="6D5ED2DD">
        <w:trPr>
          <w:trHeight w:val="300"/>
        </w:trPr>
        <w:tc>
          <w:tcPr>
            <w:tcW w:w="1234" w:type="dxa"/>
            <w:tcMar>
              <w:left w:w="108" w:type="dxa"/>
              <w:right w:w="108" w:type="dxa"/>
            </w:tcMar>
          </w:tcPr>
          <w:p w14:paraId="02548791" w14:textId="47B5F7AF" w:rsidR="6D5ED2DD" w:rsidRDefault="6D5ED2DD" w:rsidP="6D5ED2DD">
            <w:pPr>
              <w:spacing w:after="200" w:line="276" w:lineRule="auto"/>
            </w:pPr>
            <w:r w:rsidRPr="6D5ED2DD">
              <w:rPr>
                <w:rFonts w:ascii="Cambria" w:eastAsia="Cambria" w:hAnsi="Cambria" w:cs="Cambria"/>
                <w:sz w:val="22"/>
                <w:szCs w:val="22"/>
                <w:lang w:val="en-US"/>
              </w:rPr>
              <w:t>Candriam</w:t>
            </w:r>
          </w:p>
        </w:tc>
        <w:tc>
          <w:tcPr>
            <w:tcW w:w="1389" w:type="dxa"/>
            <w:tcMar>
              <w:left w:w="108" w:type="dxa"/>
              <w:right w:w="108" w:type="dxa"/>
            </w:tcMar>
          </w:tcPr>
          <w:p w14:paraId="63F6A439" w14:textId="18FD411E" w:rsidR="6D5ED2DD" w:rsidRDefault="6D5ED2DD" w:rsidP="6D5ED2DD">
            <w:pPr>
              <w:spacing w:after="200" w:line="276" w:lineRule="auto"/>
            </w:pPr>
            <w:r w:rsidRPr="6D5ED2DD">
              <w:rPr>
                <w:rFonts w:ascii="Cambria" w:eastAsia="Cambria" w:hAnsi="Cambria" w:cs="Cambria"/>
                <w:sz w:val="22"/>
                <w:szCs w:val="22"/>
                <w:lang w:val="en-US"/>
              </w:rPr>
              <w:t>8.0</w:t>
            </w:r>
          </w:p>
        </w:tc>
        <w:tc>
          <w:tcPr>
            <w:tcW w:w="1234" w:type="dxa"/>
            <w:tcMar>
              <w:left w:w="108" w:type="dxa"/>
              <w:right w:w="108" w:type="dxa"/>
            </w:tcMar>
          </w:tcPr>
          <w:p w14:paraId="0AF01281" w14:textId="279C0009" w:rsidR="6D5ED2DD" w:rsidRDefault="6D5ED2DD" w:rsidP="6D5ED2DD">
            <w:pPr>
              <w:spacing w:after="200" w:line="276" w:lineRule="auto"/>
            </w:pPr>
            <w:r w:rsidRPr="6D5ED2DD">
              <w:rPr>
                <w:rFonts w:ascii="Cambria" w:eastAsia="Cambria" w:hAnsi="Cambria" w:cs="Cambria"/>
                <w:sz w:val="22"/>
                <w:szCs w:val="22"/>
                <w:lang w:val="en-US"/>
              </w:rPr>
              <w:t>8.0</w:t>
            </w:r>
          </w:p>
        </w:tc>
        <w:tc>
          <w:tcPr>
            <w:tcW w:w="1234" w:type="dxa"/>
            <w:tcMar>
              <w:left w:w="108" w:type="dxa"/>
              <w:right w:w="108" w:type="dxa"/>
            </w:tcMar>
          </w:tcPr>
          <w:p w14:paraId="6D64B46E" w14:textId="6062E13B" w:rsidR="6D5ED2DD" w:rsidRDefault="6D5ED2DD" w:rsidP="6D5ED2DD">
            <w:pPr>
              <w:spacing w:after="200" w:line="276" w:lineRule="auto"/>
            </w:pPr>
            <w:r w:rsidRPr="6D5ED2DD">
              <w:rPr>
                <w:rFonts w:ascii="Cambria" w:eastAsia="Cambria" w:hAnsi="Cambria" w:cs="Cambria"/>
                <w:sz w:val="22"/>
                <w:szCs w:val="22"/>
                <w:lang w:val="en-US"/>
              </w:rPr>
              <w:t>5.0</w:t>
            </w:r>
          </w:p>
        </w:tc>
        <w:tc>
          <w:tcPr>
            <w:tcW w:w="1234" w:type="dxa"/>
            <w:tcMar>
              <w:left w:w="108" w:type="dxa"/>
              <w:right w:w="108" w:type="dxa"/>
            </w:tcMar>
          </w:tcPr>
          <w:p w14:paraId="6E6268A6" w14:textId="39D7FBF6" w:rsidR="6D5ED2DD" w:rsidRDefault="6D5ED2DD" w:rsidP="6D5ED2DD">
            <w:pPr>
              <w:spacing w:after="200" w:line="276" w:lineRule="auto"/>
            </w:pPr>
            <w:r w:rsidRPr="6D5ED2DD">
              <w:rPr>
                <w:rFonts w:ascii="Cambria" w:eastAsia="Cambria" w:hAnsi="Cambria" w:cs="Cambria"/>
                <w:sz w:val="22"/>
                <w:szCs w:val="22"/>
                <w:lang w:val="en-US"/>
              </w:rPr>
              <w:t>40/40/20</w:t>
            </w:r>
          </w:p>
        </w:tc>
        <w:tc>
          <w:tcPr>
            <w:tcW w:w="1234" w:type="dxa"/>
            <w:tcMar>
              <w:left w:w="108" w:type="dxa"/>
              <w:right w:w="108" w:type="dxa"/>
            </w:tcMar>
          </w:tcPr>
          <w:p w14:paraId="4D7B316C" w14:textId="78014C45" w:rsidR="6D5ED2DD" w:rsidRDefault="6D5ED2DD" w:rsidP="6D5ED2DD">
            <w:pPr>
              <w:spacing w:after="200" w:line="276" w:lineRule="auto"/>
            </w:pPr>
            <w:r w:rsidRPr="6D5ED2DD">
              <w:rPr>
                <w:rFonts w:ascii="Cambria" w:eastAsia="Cambria" w:hAnsi="Cambria" w:cs="Cambria"/>
                <w:sz w:val="22"/>
                <w:szCs w:val="22"/>
                <w:lang w:val="en-US"/>
              </w:rPr>
              <w:t>7.3</w:t>
            </w:r>
          </w:p>
        </w:tc>
        <w:tc>
          <w:tcPr>
            <w:tcW w:w="1936" w:type="dxa"/>
            <w:tcMar>
              <w:left w:w="108" w:type="dxa"/>
              <w:right w:w="108" w:type="dxa"/>
            </w:tcMar>
          </w:tcPr>
          <w:p w14:paraId="726879CC" w14:textId="2C069A5C" w:rsidR="6D5ED2DD" w:rsidRDefault="6D5ED2DD" w:rsidP="6D5ED2DD">
            <w:pPr>
              <w:spacing w:after="200" w:line="276" w:lineRule="auto"/>
            </w:pPr>
            <w:r w:rsidRPr="6D5ED2DD">
              <w:rPr>
                <w:rFonts w:ascii="Cambria" w:eastAsia="Cambria" w:hAnsi="Cambria" w:cs="Cambria"/>
                <w:sz w:val="22"/>
                <w:szCs w:val="22"/>
              </w:rPr>
              <w:t>Sterke ESG-integratie, maar reputatiekwestie drukt score.</w:t>
            </w:r>
          </w:p>
        </w:tc>
      </w:tr>
    </w:tbl>
    <w:p w14:paraId="43BA992E" w14:textId="6602BC92" w:rsidR="32F1AED3" w:rsidRDefault="2E391325" w:rsidP="6D5ED2DD">
      <w:pPr>
        <w:pStyle w:val="Heading2"/>
        <w:spacing w:before="200" w:after="0" w:line="276" w:lineRule="auto"/>
        <w:rPr>
          <w:rFonts w:ascii="Calibri" w:eastAsia="Calibri" w:hAnsi="Calibri" w:cs="Calibri"/>
          <w:b/>
          <w:bCs/>
          <w:color w:val="4F81BD"/>
          <w:sz w:val="26"/>
          <w:szCs w:val="26"/>
        </w:rPr>
      </w:pPr>
      <w:bookmarkStart w:id="52" w:name="_Toc26997841"/>
      <w:r w:rsidRPr="6D5ED2DD">
        <w:rPr>
          <w:rFonts w:ascii="Calibri" w:eastAsia="Calibri" w:hAnsi="Calibri" w:cs="Calibri"/>
          <w:b/>
          <w:bCs/>
          <w:color w:val="4F81BD"/>
          <w:sz w:val="26"/>
          <w:szCs w:val="26"/>
        </w:rPr>
        <w:t>4. Conclusie</w:t>
      </w:r>
      <w:bookmarkEnd w:id="52"/>
    </w:p>
    <w:p w14:paraId="6B941EBB" w14:textId="065C6D9A" w:rsidR="32F1AED3" w:rsidRDefault="2E391325" w:rsidP="6D5ED2DD">
      <w:pPr>
        <w:spacing w:after="200" w:line="276" w:lineRule="auto"/>
      </w:pPr>
      <w:r w:rsidRPr="6D5ED2DD">
        <w:rPr>
          <w:rFonts w:ascii="Cambria" w:eastAsia="Cambria" w:hAnsi="Cambria" w:cs="Cambria"/>
          <w:sz w:val="22"/>
          <w:szCs w:val="22"/>
        </w:rPr>
        <w:t>Robeco presteert het best met een totaalscore van 8.5 – de marktleider op het gebied van duurzaamheid en governance. BNP Paribas AM volgt dicht met 7.9 – sterk, maar iets minder governance-transparantie. Candriam scoort solide op ESG-beleid maar heeft reputatierisico’s door recente kritiek. UBS AM blijft iets achter in openheid en consistentie, hoewel het beleid in opbouw is.</w:t>
      </w:r>
    </w:p>
    <w:p w14:paraId="089A818D" w14:textId="70DD8CFB" w:rsidR="32F1AED3" w:rsidRDefault="2E391325" w:rsidP="6D5ED2DD">
      <w:pPr>
        <w:spacing w:after="200" w:line="276" w:lineRule="auto"/>
      </w:pPr>
      <w:r w:rsidRPr="6D5ED2DD">
        <w:rPr>
          <w:rFonts w:ascii="Cambria" w:eastAsia="Cambria" w:hAnsi="Cambria" w:cs="Cambria"/>
          <w:sz w:val="22"/>
          <w:szCs w:val="22"/>
        </w:rPr>
        <w:t>Aanbevolen benchmarkvolgorde (sterk → zwak): Robeco, BNP Paribas AM, Candriam, UBS AM.</w:t>
      </w:r>
    </w:p>
    <w:p w14:paraId="0F2F900B" w14:textId="17502520" w:rsidR="32F1AED3" w:rsidRDefault="2E391325" w:rsidP="6D5ED2DD">
      <w:pPr>
        <w:pStyle w:val="Heading2"/>
        <w:spacing w:before="200" w:after="0" w:line="276" w:lineRule="auto"/>
        <w:rPr>
          <w:rFonts w:ascii="Calibri" w:eastAsia="Calibri" w:hAnsi="Calibri" w:cs="Calibri"/>
          <w:b/>
          <w:bCs/>
          <w:color w:val="4F81BD"/>
          <w:sz w:val="26"/>
          <w:szCs w:val="26"/>
        </w:rPr>
      </w:pPr>
      <w:bookmarkStart w:id="53" w:name="_Toc84727359"/>
      <w:r w:rsidRPr="6D5ED2DD">
        <w:rPr>
          <w:rFonts w:ascii="Calibri" w:eastAsia="Calibri" w:hAnsi="Calibri" w:cs="Calibri"/>
          <w:b/>
          <w:bCs/>
          <w:color w:val="4F81BD"/>
          <w:sz w:val="26"/>
          <w:szCs w:val="26"/>
        </w:rPr>
        <w:t>5. Bronnenlijst (APA 7e editie)</w:t>
      </w:r>
      <w:bookmarkEnd w:id="53"/>
    </w:p>
    <w:p w14:paraId="499A42CB" w14:textId="56F90FE5" w:rsidR="32F1AED3" w:rsidRDefault="2E391325" w:rsidP="6D5ED2DD">
      <w:pPr>
        <w:spacing w:after="200" w:line="276" w:lineRule="auto"/>
      </w:pPr>
      <w:r w:rsidRPr="6D5ED2DD">
        <w:rPr>
          <w:rFonts w:ascii="Cambria" w:eastAsia="Cambria" w:hAnsi="Cambria" w:cs="Cambria"/>
          <w:sz w:val="22"/>
          <w:szCs w:val="22"/>
        </w:rPr>
        <w:t>Volledige lijst van geraadpleegde bronnen:</w:t>
      </w:r>
      <w:r w:rsidR="32F1AED3">
        <w:br/>
      </w:r>
      <w:r w:rsidRPr="6D5ED2DD">
        <w:rPr>
          <w:rFonts w:ascii="Cambria" w:eastAsia="Cambria" w:hAnsi="Cambria" w:cs="Cambria"/>
          <w:sz w:val="22"/>
          <w:szCs w:val="22"/>
        </w:rPr>
        <w:t xml:space="preserve"> </w:t>
      </w:r>
      <w:r w:rsidR="32F1AED3">
        <w:br/>
      </w:r>
      <w:r w:rsidRPr="6D5ED2DD">
        <w:rPr>
          <w:rFonts w:ascii="Cambria" w:eastAsia="Cambria" w:hAnsi="Cambria" w:cs="Cambria"/>
          <w:sz w:val="22"/>
          <w:szCs w:val="22"/>
        </w:rPr>
        <w:t xml:space="preserve">BNP Paribas Asset Management. </w:t>
      </w:r>
      <w:r w:rsidRPr="6D5ED2DD">
        <w:rPr>
          <w:rFonts w:ascii="Cambria" w:eastAsia="Cambria" w:hAnsi="Cambria" w:cs="Cambria"/>
          <w:sz w:val="22"/>
          <w:szCs w:val="22"/>
          <w:lang w:val="en-US"/>
        </w:rPr>
        <w:t xml:space="preserve">(2024). Our global sustainability strategy: Updated and on course. </w:t>
      </w:r>
      <w:r w:rsidRPr="6D5ED2DD">
        <w:rPr>
          <w:rFonts w:ascii="Cambria" w:eastAsia="Cambria" w:hAnsi="Cambria" w:cs="Cambria"/>
          <w:sz w:val="22"/>
          <w:szCs w:val="22"/>
          <w:lang w:val="en-GB"/>
        </w:rPr>
        <w:t xml:space="preserve">Geraadpleegd via </w:t>
      </w:r>
      <w:hyperlink r:id="rId35">
        <w:r w:rsidRPr="6D5ED2DD">
          <w:rPr>
            <w:rStyle w:val="Hyperlink"/>
            <w:rFonts w:ascii="Cambria" w:eastAsia="Cambria" w:hAnsi="Cambria" w:cs="Cambria"/>
            <w:color w:val="0000FF"/>
            <w:sz w:val="22"/>
            <w:szCs w:val="22"/>
            <w:lang w:val="en-GB"/>
          </w:rPr>
          <w:t>https://www.bnpparibas-am.com/en/forward-thinking/our-global-sustainability-strategy-updated-and-on-course/</w:t>
        </w:r>
      </w:hyperlink>
      <w:r w:rsidRPr="6D5ED2DD">
        <w:rPr>
          <w:rFonts w:ascii="Cambria" w:eastAsia="Cambria" w:hAnsi="Cambria" w:cs="Cambria"/>
          <w:sz w:val="22"/>
          <w:szCs w:val="22"/>
          <w:lang w:val="en-US"/>
        </w:rPr>
        <w:t xml:space="preserve"> </w:t>
      </w:r>
      <w:r w:rsidR="32F1AED3">
        <w:br/>
      </w:r>
      <w:r w:rsidR="32F1AED3">
        <w:br/>
      </w:r>
      <w:r w:rsidRPr="6D5ED2DD">
        <w:rPr>
          <w:rFonts w:ascii="Cambria" w:eastAsia="Cambria" w:hAnsi="Cambria" w:cs="Cambria"/>
          <w:sz w:val="22"/>
          <w:szCs w:val="22"/>
          <w:lang w:val="en-GB"/>
        </w:rPr>
        <w:t xml:space="preserve">BNP Paribas Asset Management. </w:t>
      </w:r>
      <w:r w:rsidRPr="6D5ED2DD">
        <w:rPr>
          <w:rFonts w:ascii="Cambria" w:eastAsia="Cambria" w:hAnsi="Cambria" w:cs="Cambria"/>
          <w:sz w:val="22"/>
          <w:szCs w:val="22"/>
          <w:lang w:val="en-US"/>
        </w:rPr>
        <w:t xml:space="preserve">(2024). Sustainability – Our approach. Geraadpleegd via </w:t>
      </w:r>
      <w:hyperlink r:id="rId36">
        <w:r w:rsidRPr="6D5ED2DD">
          <w:rPr>
            <w:rStyle w:val="Hyperlink"/>
            <w:rFonts w:ascii="Cambria" w:eastAsia="Cambria" w:hAnsi="Cambria" w:cs="Cambria"/>
            <w:color w:val="0000FF"/>
            <w:sz w:val="22"/>
            <w:szCs w:val="22"/>
            <w:lang w:val="en-US"/>
          </w:rPr>
          <w:t>https://www.bnpparibas-am.com/en/sustainability/our-approach/</w:t>
        </w:r>
      </w:hyperlink>
    </w:p>
    <w:p w14:paraId="2E762900" w14:textId="5FED394F" w:rsidR="32F1AED3" w:rsidRDefault="32F1AED3" w:rsidP="6D5ED2DD">
      <w:pPr>
        <w:spacing w:after="200" w:line="276" w:lineRule="auto"/>
      </w:pPr>
    </w:p>
    <w:p w14:paraId="77672993" w14:textId="2DB9EB20" w:rsidR="32F1AED3" w:rsidRDefault="2E391325" w:rsidP="6D5ED2DD">
      <w:pPr>
        <w:spacing w:after="200" w:line="276" w:lineRule="auto"/>
      </w:pPr>
      <w:r w:rsidRPr="6D5ED2DD">
        <w:rPr>
          <w:rFonts w:ascii="Cambria" w:eastAsia="Cambria" w:hAnsi="Cambria" w:cs="Cambria"/>
          <w:sz w:val="22"/>
          <w:szCs w:val="22"/>
          <w:lang w:val="en-US"/>
        </w:rPr>
        <w:t xml:space="preserve">Robeco. (2023). Corporate governance. </w:t>
      </w:r>
      <w:r w:rsidRPr="6D5ED2DD">
        <w:rPr>
          <w:rFonts w:ascii="Cambria" w:eastAsia="Cambria" w:hAnsi="Cambria" w:cs="Cambria"/>
          <w:sz w:val="22"/>
          <w:szCs w:val="22"/>
          <w:lang w:val="en-GB"/>
        </w:rPr>
        <w:t xml:space="preserve">Geraadpleegd via </w:t>
      </w:r>
      <w:hyperlink r:id="rId37">
        <w:r w:rsidRPr="6D5ED2DD">
          <w:rPr>
            <w:rStyle w:val="Hyperlink"/>
            <w:rFonts w:ascii="Cambria" w:eastAsia="Cambria" w:hAnsi="Cambria" w:cs="Cambria"/>
            <w:color w:val="0000FF"/>
            <w:sz w:val="22"/>
            <w:szCs w:val="22"/>
            <w:lang w:val="en-GB"/>
          </w:rPr>
          <w:t>https://www.robeco.com/en-int/about-us/corporate-governance</w:t>
        </w:r>
      </w:hyperlink>
      <w:r w:rsidRPr="6D5ED2DD">
        <w:rPr>
          <w:rFonts w:ascii="Cambria" w:eastAsia="Cambria" w:hAnsi="Cambria" w:cs="Cambria"/>
          <w:sz w:val="22"/>
          <w:szCs w:val="22"/>
          <w:lang w:val="en-US"/>
        </w:rPr>
        <w:t xml:space="preserve"> </w:t>
      </w:r>
      <w:r w:rsidR="32F1AED3">
        <w:br/>
      </w:r>
      <w:r w:rsidR="32F1AED3">
        <w:br/>
      </w:r>
      <w:r w:rsidRPr="6D5ED2DD">
        <w:rPr>
          <w:rFonts w:ascii="Cambria" w:eastAsia="Cambria" w:hAnsi="Cambria" w:cs="Cambria"/>
          <w:sz w:val="22"/>
          <w:szCs w:val="22"/>
          <w:lang w:val="en-GB"/>
        </w:rPr>
        <w:t xml:space="preserve">UBS Asset Management. </w:t>
      </w:r>
      <w:r w:rsidRPr="6D5ED2DD">
        <w:rPr>
          <w:rFonts w:ascii="Cambria" w:eastAsia="Cambria" w:hAnsi="Cambria" w:cs="Cambria"/>
          <w:sz w:val="22"/>
          <w:szCs w:val="22"/>
          <w:lang w:val="en-US"/>
        </w:rPr>
        <w:t xml:space="preserve">(2024). Sustainable investing and ESG policy. </w:t>
      </w:r>
      <w:r w:rsidRPr="6D5ED2DD">
        <w:rPr>
          <w:rFonts w:ascii="Cambria" w:eastAsia="Cambria" w:hAnsi="Cambria" w:cs="Cambria"/>
          <w:sz w:val="22"/>
          <w:szCs w:val="22"/>
          <w:lang w:val="en-GB"/>
        </w:rPr>
        <w:t xml:space="preserve">Geraadpleegd via </w:t>
      </w:r>
      <w:hyperlink r:id="rId38">
        <w:r w:rsidRPr="6D5ED2DD">
          <w:rPr>
            <w:rStyle w:val="Hyperlink"/>
            <w:rFonts w:ascii="Cambria" w:eastAsia="Cambria" w:hAnsi="Cambria" w:cs="Cambria"/>
            <w:color w:val="0000FF"/>
            <w:sz w:val="22"/>
            <w:szCs w:val="22"/>
            <w:lang w:val="en-GB"/>
          </w:rPr>
          <w:t>https://www.ubs.com/nl/en/assetmanagement/capabilities/sustainable-investing/credit-suisse-esg-policy.html</w:t>
        </w:r>
      </w:hyperlink>
      <w:r w:rsidRPr="6D5ED2DD">
        <w:rPr>
          <w:rFonts w:ascii="Cambria" w:eastAsia="Cambria" w:hAnsi="Cambria" w:cs="Cambria"/>
          <w:sz w:val="22"/>
          <w:szCs w:val="22"/>
          <w:lang w:val="en-US"/>
        </w:rPr>
        <w:t xml:space="preserve"> </w:t>
      </w:r>
      <w:r w:rsidR="32F1AED3">
        <w:br/>
      </w:r>
      <w:r w:rsidRPr="6D5ED2DD">
        <w:rPr>
          <w:rFonts w:ascii="Cambria" w:eastAsia="Cambria" w:hAnsi="Cambria" w:cs="Cambria"/>
          <w:sz w:val="22"/>
          <w:szCs w:val="22"/>
          <w:lang w:val="en-GB"/>
        </w:rPr>
        <w:t xml:space="preserve">  </w:t>
      </w:r>
      <w:r w:rsidR="32F1AED3">
        <w:br/>
      </w:r>
      <w:r w:rsidRPr="6D5ED2DD">
        <w:rPr>
          <w:rFonts w:ascii="Cambria" w:eastAsia="Cambria" w:hAnsi="Cambria" w:cs="Cambria"/>
          <w:sz w:val="22"/>
          <w:szCs w:val="22"/>
          <w:lang w:val="en-GB"/>
        </w:rPr>
        <w:t xml:space="preserve">Candriam. </w:t>
      </w:r>
      <w:r w:rsidRPr="6D5ED2DD">
        <w:rPr>
          <w:rFonts w:ascii="Cambria" w:eastAsia="Cambria" w:hAnsi="Cambria" w:cs="Cambria"/>
          <w:sz w:val="22"/>
          <w:szCs w:val="22"/>
        </w:rPr>
        <w:t xml:space="preserve">(2024). Integration policy. Geraadpleegd via </w:t>
      </w:r>
      <w:hyperlink r:id="rId39">
        <w:r w:rsidRPr="6D5ED2DD">
          <w:rPr>
            <w:rStyle w:val="Hyperlink"/>
            <w:rFonts w:ascii="Cambria" w:eastAsia="Cambria" w:hAnsi="Cambria" w:cs="Cambria"/>
            <w:color w:val="0000FF"/>
            <w:sz w:val="22"/>
            <w:szCs w:val="22"/>
            <w:lang w:val="nl"/>
          </w:rPr>
          <w:t>https://docs.candriam.com/documents/candriam/article_207/en/document.pdf</w:t>
        </w:r>
      </w:hyperlink>
      <w:r w:rsidRPr="6D5ED2DD">
        <w:rPr>
          <w:rFonts w:ascii="Cambria" w:eastAsia="Cambria" w:hAnsi="Cambria" w:cs="Cambria"/>
          <w:sz w:val="22"/>
          <w:szCs w:val="22"/>
          <w:lang w:val="en-US"/>
        </w:rPr>
        <w:t xml:space="preserve"> </w:t>
      </w:r>
    </w:p>
    <w:p w14:paraId="63B95F3D" w14:textId="30183273" w:rsidR="32F1AED3" w:rsidRDefault="2E391325" w:rsidP="6D5ED2DD">
      <w:pPr>
        <w:spacing w:after="200" w:line="276" w:lineRule="auto"/>
      </w:pPr>
      <w:r w:rsidRPr="6D5ED2DD">
        <w:rPr>
          <w:rFonts w:ascii="Cambria" w:eastAsia="Cambria" w:hAnsi="Cambria" w:cs="Cambria"/>
          <w:sz w:val="22"/>
          <w:szCs w:val="22"/>
        </w:rPr>
        <w:t xml:space="preserve">Voor vormgeving en feedback is gebruik gemaakt van ChatGPT. </w:t>
      </w:r>
    </w:p>
    <w:p w14:paraId="3C67C9A2" w14:textId="3CBC57B4" w:rsidR="32F1AED3" w:rsidRDefault="2E391325" w:rsidP="6D5ED2DD">
      <w:pPr>
        <w:pStyle w:val="Heading1"/>
        <w:spacing w:before="480" w:after="0" w:line="276" w:lineRule="auto"/>
        <w:rPr>
          <w:rFonts w:ascii="Calibri" w:eastAsia="Calibri" w:hAnsi="Calibri" w:cs="Calibri"/>
          <w:b/>
          <w:bCs/>
          <w:color w:val="365F91"/>
          <w:sz w:val="28"/>
          <w:szCs w:val="28"/>
        </w:rPr>
      </w:pPr>
      <w:bookmarkStart w:id="54" w:name="_Toc1155228358"/>
      <w:r w:rsidRPr="6D5ED2DD">
        <w:rPr>
          <w:rFonts w:ascii="Calibri" w:eastAsia="Calibri" w:hAnsi="Calibri" w:cs="Calibri"/>
          <w:b/>
          <w:bCs/>
          <w:color w:val="365F91"/>
          <w:sz w:val="28"/>
          <w:szCs w:val="28"/>
        </w:rPr>
        <w:t>Keuzefonds Robeco</w:t>
      </w:r>
      <w:bookmarkEnd w:id="54"/>
    </w:p>
    <w:p w14:paraId="38E18186" w14:textId="575C2027" w:rsidR="32F1AED3" w:rsidRDefault="2E391325" w:rsidP="6D5ED2DD">
      <w:pPr>
        <w:spacing w:after="200" w:line="276" w:lineRule="auto"/>
      </w:pPr>
      <w:r w:rsidRPr="6D5ED2DD">
        <w:rPr>
          <w:rFonts w:ascii="Cambria" w:eastAsia="Cambria" w:hAnsi="Cambria" w:cs="Cambria"/>
          <w:sz w:val="22"/>
          <w:szCs w:val="22"/>
        </w:rPr>
        <w:t xml:space="preserve">Duurzaam Obligatiefonds; </w:t>
      </w:r>
    </w:p>
    <w:p w14:paraId="11C210F8" w14:textId="06624C84" w:rsidR="32F1AED3" w:rsidRDefault="2E391325" w:rsidP="6D5ED2DD">
      <w:pPr>
        <w:spacing w:after="200" w:line="276" w:lineRule="auto"/>
      </w:pPr>
      <w:r w:rsidRPr="6D5ED2DD">
        <w:rPr>
          <w:rFonts w:ascii="Cambria" w:eastAsia="Cambria" w:hAnsi="Cambria" w:cs="Cambria"/>
          <w:sz w:val="22"/>
          <w:szCs w:val="22"/>
        </w:rPr>
        <w:t>Robeco Financial Institutions Bonds B EUR. Dit fonds heeft een laag risico omdat het in obligaties belegt in heel Europa. Hierdoor wordt het risico goed gespreid. Het fonds integreert duurzaamheid in het beleggingsproces door middel van uitsluitingen, ESG-integratie, een minimumallocatie naar ESG-obligaties, en engagement. Op basis van het uitsluitingsbeleid van Robeco belegt het fonds niet in issuers van credits die internationale normen schenden of waarbij de activiteiten een negatieve impact hebben op de maatschappij.</w:t>
      </w:r>
    </w:p>
    <w:p w14:paraId="73E187EB" w14:textId="741397BF" w:rsidR="32F1AED3" w:rsidRDefault="2E391325" w:rsidP="6D5ED2DD">
      <w:pPr>
        <w:pStyle w:val="Heading1"/>
        <w:spacing w:before="480" w:after="0" w:line="276" w:lineRule="auto"/>
        <w:rPr>
          <w:rFonts w:ascii="Calibri" w:eastAsia="Calibri" w:hAnsi="Calibri" w:cs="Calibri"/>
          <w:b/>
          <w:bCs/>
          <w:color w:val="365F91"/>
          <w:sz w:val="28"/>
          <w:szCs w:val="28"/>
        </w:rPr>
      </w:pPr>
      <w:bookmarkStart w:id="55" w:name="_Toc1327492450"/>
      <w:r w:rsidRPr="6D5ED2DD">
        <w:rPr>
          <w:rFonts w:ascii="Calibri" w:eastAsia="Calibri" w:hAnsi="Calibri" w:cs="Calibri"/>
          <w:b/>
          <w:bCs/>
          <w:color w:val="365F91"/>
          <w:sz w:val="28"/>
          <w:szCs w:val="28"/>
        </w:rPr>
        <w:t>Keuzefonds ASN</w:t>
      </w:r>
      <w:bookmarkEnd w:id="55"/>
    </w:p>
    <w:p w14:paraId="0E49B76A" w14:textId="3D98E65F" w:rsidR="32F1AED3" w:rsidRDefault="2E391325" w:rsidP="6D5ED2DD">
      <w:pPr>
        <w:spacing w:after="200" w:line="276" w:lineRule="auto"/>
      </w:pPr>
      <w:r w:rsidRPr="6D5ED2DD">
        <w:rPr>
          <w:rFonts w:ascii="Cambria" w:eastAsia="Cambria" w:hAnsi="Cambria" w:cs="Cambria"/>
          <w:sz w:val="22"/>
          <w:szCs w:val="22"/>
        </w:rPr>
        <w:t>ASN obligatiefonds;</w:t>
      </w:r>
    </w:p>
    <w:p w14:paraId="6CF63557" w14:textId="067CB0E8" w:rsidR="32F1AED3" w:rsidRDefault="2E391325" w:rsidP="6D5ED2DD">
      <w:pPr>
        <w:spacing w:after="200" w:line="276" w:lineRule="auto"/>
      </w:pPr>
      <w:r w:rsidRPr="6D5ED2DD">
        <w:rPr>
          <w:rFonts w:ascii="Cambria" w:eastAsia="Cambria" w:hAnsi="Cambria" w:cs="Cambria"/>
          <w:sz w:val="22"/>
          <w:szCs w:val="22"/>
        </w:rPr>
        <w:t xml:space="preserve">ASN heeft maar 1 overkoepelend obligatiefonds. Deze belegt in overheden met een gezonde financiële status waarin duurzame groei hoog in het vaandel zit. Het nettorendement is in afgelopen jaar voor het eerst sinds lang weer positief (na aftrek). Wij denken dat de komende tijd dit rendement positief zal blijven. Omdat de risico’s zo veel worden gespreid is het risico laag, maar het rendement ook. Dit fonds heeft hierdoor een lage toetredingsdrempel.  </w:t>
      </w:r>
    </w:p>
    <w:p w14:paraId="14E88B92" w14:textId="3DF1AE4F" w:rsidR="32F1AED3" w:rsidRDefault="2E391325" w:rsidP="6D5ED2DD">
      <w:pPr>
        <w:pStyle w:val="Heading1"/>
        <w:spacing w:before="480" w:after="0" w:line="276" w:lineRule="auto"/>
        <w:rPr>
          <w:rFonts w:ascii="Calibri" w:eastAsia="Calibri" w:hAnsi="Calibri" w:cs="Calibri"/>
          <w:b/>
          <w:bCs/>
          <w:color w:val="365F91"/>
          <w:sz w:val="28"/>
          <w:szCs w:val="28"/>
        </w:rPr>
      </w:pPr>
      <w:bookmarkStart w:id="56" w:name="_Toc1804052808"/>
      <w:r w:rsidRPr="6D5ED2DD">
        <w:rPr>
          <w:rFonts w:ascii="Calibri" w:eastAsia="Calibri" w:hAnsi="Calibri" w:cs="Calibri"/>
          <w:b/>
          <w:bCs/>
          <w:color w:val="365F91"/>
          <w:sz w:val="28"/>
          <w:szCs w:val="28"/>
        </w:rPr>
        <w:t>1. Communicatie beleggingsstrategie (10%)</w:t>
      </w:r>
      <w:bookmarkEnd w:id="56"/>
    </w:p>
    <w:p w14:paraId="79966455" w14:textId="60F4492F" w:rsidR="32F1AED3" w:rsidRDefault="2E391325" w:rsidP="6D5ED2DD">
      <w:pPr>
        <w:spacing w:after="200" w:line="276" w:lineRule="auto"/>
      </w:pPr>
      <w:r w:rsidRPr="6D5ED2DD">
        <w:rPr>
          <w:rFonts w:ascii="Cambria" w:eastAsia="Cambria" w:hAnsi="Cambria" w:cs="Cambria"/>
          <w:b/>
          <w:bCs/>
          <w:i/>
          <w:iCs/>
          <w:sz w:val="22"/>
          <w:szCs w:val="22"/>
        </w:rPr>
        <w:t>Robeco Financial Institutions Bonds B EUR</w:t>
      </w:r>
    </w:p>
    <w:p w14:paraId="4101B342" w14:textId="3670E110" w:rsidR="32F1AED3" w:rsidRDefault="2E391325" w:rsidP="6D5ED2DD">
      <w:pPr>
        <w:spacing w:after="200" w:line="276" w:lineRule="auto"/>
      </w:pPr>
      <w:r w:rsidRPr="6D5ED2DD">
        <w:rPr>
          <w:rFonts w:ascii="Cambria" w:eastAsia="Cambria" w:hAnsi="Cambria" w:cs="Cambria"/>
          <w:sz w:val="22"/>
          <w:szCs w:val="22"/>
        </w:rPr>
        <w:t>Robeco communiceert helder over de beleggingsstrategie via factsheets en fund updates. Het fonds richt zich op achtergestelde en senior obligaties van financiële instellingen. Robeco legt in voldoende detail uit welke factoren worden meegewogen, zoals kredietanalyse, kapitaalstructuur en marktontwikkelingen. In portefeuille-updates wordt regelmatig toegelicht waarom posities zijn toegevoegd, afgebouwd of verkocht.</w:t>
      </w:r>
    </w:p>
    <w:p w14:paraId="1093AEE9" w14:textId="67162DB3" w:rsidR="32F1AED3" w:rsidRDefault="2E391325" w:rsidP="6D5ED2DD">
      <w:pPr>
        <w:spacing w:after="200" w:line="276" w:lineRule="auto"/>
      </w:pPr>
      <w:r w:rsidRPr="6D5ED2DD">
        <w:rPr>
          <w:rFonts w:ascii="Cambria" w:eastAsia="Cambria" w:hAnsi="Cambria" w:cs="Cambria"/>
          <w:b/>
          <w:bCs/>
          <w:i/>
          <w:iCs/>
          <w:sz w:val="22"/>
          <w:szCs w:val="22"/>
        </w:rPr>
        <w:t>ASN Obligatiefonds</w:t>
      </w:r>
    </w:p>
    <w:p w14:paraId="67F9BF19" w14:textId="6A56ACE8" w:rsidR="32F1AED3" w:rsidRDefault="2E391325" w:rsidP="6D5ED2DD">
      <w:pPr>
        <w:spacing w:after="200" w:line="276" w:lineRule="auto"/>
      </w:pPr>
      <w:r w:rsidRPr="6D5ED2DD">
        <w:rPr>
          <w:rFonts w:ascii="Cambria" w:eastAsia="Cambria" w:hAnsi="Cambria" w:cs="Cambria"/>
          <w:sz w:val="22"/>
          <w:szCs w:val="22"/>
        </w:rPr>
        <w:t>ASN communiceert de strategie eenvoudig en transparant. Het fonds belegt uitsluitend in staats- en bedrijfsobligaties die voldoen aan strikte duurzame criteria volgens het ASN-beleid. Hoewel ASN minder vaak updates geeft over individuele aankoop-/verkoopbeslissingen, is de algemene toelichting helder en goed toegankelijk voor niet-professionele beleggers.</w:t>
      </w:r>
    </w:p>
    <w:p w14:paraId="694D5BC2" w14:textId="7179D951" w:rsidR="32F1AED3" w:rsidRDefault="2E391325" w:rsidP="6D5ED2DD">
      <w:pPr>
        <w:pStyle w:val="Heading1"/>
        <w:spacing w:before="480" w:after="0" w:line="276" w:lineRule="auto"/>
        <w:rPr>
          <w:rFonts w:ascii="Calibri" w:eastAsia="Calibri" w:hAnsi="Calibri" w:cs="Calibri"/>
          <w:b/>
          <w:bCs/>
          <w:color w:val="365F91"/>
          <w:sz w:val="28"/>
          <w:szCs w:val="28"/>
        </w:rPr>
      </w:pPr>
      <w:bookmarkStart w:id="57" w:name="_Toc1419694106"/>
      <w:r w:rsidRPr="6D5ED2DD">
        <w:rPr>
          <w:rFonts w:ascii="Calibri" w:eastAsia="Calibri" w:hAnsi="Calibri" w:cs="Calibri"/>
          <w:b/>
          <w:bCs/>
          <w:color w:val="365F91"/>
          <w:sz w:val="28"/>
          <w:szCs w:val="28"/>
        </w:rPr>
        <w:t>2. Historische risico/rendementsverhouding (25%)</w:t>
      </w:r>
      <w:bookmarkEnd w:id="57"/>
    </w:p>
    <w:p w14:paraId="70DF2B2D" w14:textId="6DE10EB2" w:rsidR="32F1AED3" w:rsidRDefault="2E391325" w:rsidP="6D5ED2DD">
      <w:pPr>
        <w:spacing w:after="200" w:line="276" w:lineRule="auto"/>
      </w:pPr>
      <w:r w:rsidRPr="6D5ED2DD">
        <w:rPr>
          <w:rFonts w:ascii="Cambria" w:eastAsia="Cambria" w:hAnsi="Cambria" w:cs="Cambria"/>
          <w:b/>
          <w:bCs/>
          <w:sz w:val="22"/>
          <w:szCs w:val="22"/>
        </w:rPr>
        <w:t>Robe</w:t>
      </w:r>
      <w:r w:rsidRPr="6D5ED2DD">
        <w:rPr>
          <w:rFonts w:ascii="Cambria" w:eastAsia="Cambria" w:hAnsi="Cambria" w:cs="Cambria"/>
          <w:b/>
          <w:bCs/>
          <w:i/>
          <w:iCs/>
          <w:sz w:val="22"/>
          <w:szCs w:val="22"/>
        </w:rPr>
        <w:t>co Financial Institutions Bonds B EUR</w:t>
      </w:r>
    </w:p>
    <w:p w14:paraId="63EC6983" w14:textId="61AC9792" w:rsidR="32F1AED3" w:rsidRDefault="2E391325" w:rsidP="6D5ED2DD">
      <w:pPr>
        <w:spacing w:after="200" w:line="276" w:lineRule="auto"/>
      </w:pPr>
      <w:r w:rsidRPr="6D5ED2DD">
        <w:rPr>
          <w:rFonts w:ascii="Cambria" w:eastAsia="Cambria" w:hAnsi="Cambria" w:cs="Cambria"/>
          <w:sz w:val="22"/>
          <w:szCs w:val="22"/>
        </w:rPr>
        <w:t>Het Robeco-fonds kent doorgaans een hoger risico-profiel vanwege blootstelling aan financiële instellingen (subordinated debt). Historische gegevens laten zien dat het fonds bovengemiddelde rendementen behaalde in perioden van stabiele financiële markten, maar gevoeliger is voor stress in de financiële sector.</w:t>
      </w:r>
    </w:p>
    <w:p w14:paraId="26A433AE" w14:textId="3D4C1ADD" w:rsidR="32F1AED3" w:rsidRDefault="2E391325" w:rsidP="6D5ED2DD">
      <w:pPr>
        <w:spacing w:after="200" w:line="276" w:lineRule="auto"/>
      </w:pPr>
      <w:r w:rsidRPr="6D5ED2DD">
        <w:rPr>
          <w:rFonts w:ascii="Cambria" w:eastAsia="Cambria" w:hAnsi="Cambria" w:cs="Cambria"/>
          <w:b/>
          <w:bCs/>
          <w:i/>
          <w:iCs/>
          <w:sz w:val="22"/>
          <w:szCs w:val="22"/>
        </w:rPr>
        <w:t>ASN Obligatiefonds</w:t>
      </w:r>
    </w:p>
    <w:p w14:paraId="236613F4" w14:textId="27D0E162" w:rsidR="32F1AED3" w:rsidRDefault="2E391325" w:rsidP="6D5ED2DD">
      <w:pPr>
        <w:spacing w:after="200" w:line="276" w:lineRule="auto"/>
      </w:pPr>
      <w:r w:rsidRPr="6D5ED2DD">
        <w:rPr>
          <w:rFonts w:ascii="Cambria" w:eastAsia="Cambria" w:hAnsi="Cambria" w:cs="Cambria"/>
          <w:sz w:val="22"/>
          <w:szCs w:val="22"/>
        </w:rPr>
        <w:t>Het ASN-fonds heeft historisch een lager risico door brede spreiding in investment-grade obligaties en gedeeltelijke allocatie naar staatsobligaties. Het rendement is stabieler en minder volatiel dan dat van Robeco. Qua risico/rendementsverhouding is ASN doorgaans consistenter, vooral op langere termijn.</w:t>
      </w:r>
    </w:p>
    <w:p w14:paraId="1C32E249" w14:textId="7D9B851E" w:rsidR="32F1AED3" w:rsidRDefault="2E391325" w:rsidP="6D5ED2DD">
      <w:pPr>
        <w:pStyle w:val="Heading1"/>
        <w:spacing w:before="480" w:after="0" w:line="276" w:lineRule="auto"/>
        <w:rPr>
          <w:rFonts w:ascii="Calibri" w:eastAsia="Calibri" w:hAnsi="Calibri" w:cs="Calibri"/>
          <w:b/>
          <w:bCs/>
          <w:color w:val="365F91"/>
          <w:sz w:val="28"/>
          <w:szCs w:val="28"/>
          <w:lang w:val="en-GB"/>
        </w:rPr>
      </w:pPr>
      <w:bookmarkStart w:id="58" w:name="_Toc873730252"/>
      <w:r w:rsidRPr="6D5ED2DD">
        <w:rPr>
          <w:rFonts w:ascii="Calibri" w:eastAsia="Calibri" w:hAnsi="Calibri" w:cs="Calibri"/>
          <w:b/>
          <w:bCs/>
          <w:color w:val="365F91"/>
          <w:sz w:val="28"/>
          <w:szCs w:val="28"/>
          <w:lang w:val="en-GB"/>
        </w:rPr>
        <w:t>3. Kosten (15%)</w:t>
      </w:r>
      <w:bookmarkEnd w:id="58"/>
    </w:p>
    <w:p w14:paraId="53458243" w14:textId="6E1828E3" w:rsidR="32F1AED3" w:rsidRDefault="2E391325" w:rsidP="6D5ED2DD">
      <w:pPr>
        <w:spacing w:after="200" w:line="276" w:lineRule="auto"/>
      </w:pPr>
      <w:r w:rsidRPr="6D5ED2DD">
        <w:rPr>
          <w:rFonts w:ascii="Cambria" w:eastAsia="Cambria" w:hAnsi="Cambria" w:cs="Cambria"/>
          <w:b/>
          <w:bCs/>
          <w:i/>
          <w:iCs/>
          <w:sz w:val="22"/>
          <w:szCs w:val="22"/>
          <w:lang w:val="en-GB"/>
        </w:rPr>
        <w:t>Robeco Financial Institutions Bonds B EUR</w:t>
      </w:r>
    </w:p>
    <w:p w14:paraId="4A6BAE0E" w14:textId="5964D7E8" w:rsidR="32F1AED3" w:rsidRDefault="2E391325" w:rsidP="6D5ED2DD">
      <w:pPr>
        <w:spacing w:after="200" w:line="276" w:lineRule="auto"/>
      </w:pPr>
      <w:r w:rsidRPr="6D5ED2DD">
        <w:rPr>
          <w:rFonts w:ascii="Cambria" w:eastAsia="Cambria" w:hAnsi="Cambria" w:cs="Cambria"/>
          <w:sz w:val="22"/>
          <w:szCs w:val="22"/>
        </w:rPr>
        <w:t>Het fonds rekent een lopende kostenfactor van ongeveer 0,68%–0,75% per jaar. Dit ligt iets boven het gemiddelde voor vergelijkbare Europese obligatiefondsen, vooral doordat het actief wordt beheerd binnen een gespecialiseerde niche (financial institutions bonds).</w:t>
      </w:r>
    </w:p>
    <w:p w14:paraId="0E91C26F" w14:textId="3B843AAB" w:rsidR="32F1AED3" w:rsidRDefault="2E391325" w:rsidP="6D5ED2DD">
      <w:pPr>
        <w:spacing w:after="200" w:line="276" w:lineRule="auto"/>
      </w:pPr>
      <w:r w:rsidRPr="6D5ED2DD">
        <w:rPr>
          <w:rFonts w:ascii="Cambria" w:eastAsia="Cambria" w:hAnsi="Cambria" w:cs="Cambria"/>
          <w:b/>
          <w:bCs/>
          <w:i/>
          <w:iCs/>
          <w:sz w:val="22"/>
          <w:szCs w:val="22"/>
        </w:rPr>
        <w:t>ASN Obligatiefonds</w:t>
      </w:r>
    </w:p>
    <w:p w14:paraId="3496F4C7" w14:textId="101632FF" w:rsidR="32F1AED3" w:rsidRDefault="2E391325" w:rsidP="6D5ED2DD">
      <w:pPr>
        <w:spacing w:after="200" w:line="276" w:lineRule="auto"/>
      </w:pPr>
      <w:r w:rsidRPr="6D5ED2DD">
        <w:rPr>
          <w:rFonts w:ascii="Cambria" w:eastAsia="Cambria" w:hAnsi="Cambria" w:cs="Cambria"/>
          <w:sz w:val="22"/>
          <w:szCs w:val="22"/>
        </w:rPr>
        <w:t>Het ASN Obligatiefonds rekent doorgaans lagere kosten (ongeveer 0,60%). Dit ligt in lijn met andere duurzame obligatiefondsen. Omdat ASN minder complex risicobeheer toepast dan Robeco, zijn de kosten relatief gunstig.</w:t>
      </w:r>
    </w:p>
    <w:p w14:paraId="0B35C77A" w14:textId="5C315EC1" w:rsidR="32F1AED3" w:rsidRDefault="2E391325" w:rsidP="6D5ED2DD">
      <w:pPr>
        <w:pStyle w:val="Heading1"/>
        <w:spacing w:before="480" w:after="0" w:line="276" w:lineRule="auto"/>
        <w:rPr>
          <w:rFonts w:ascii="Calibri" w:eastAsia="Calibri" w:hAnsi="Calibri" w:cs="Calibri"/>
          <w:b/>
          <w:bCs/>
          <w:color w:val="365F91"/>
          <w:sz w:val="28"/>
          <w:szCs w:val="28"/>
        </w:rPr>
      </w:pPr>
      <w:bookmarkStart w:id="59" w:name="_Toc287269650"/>
      <w:r w:rsidRPr="6D5ED2DD">
        <w:rPr>
          <w:rFonts w:ascii="Calibri" w:eastAsia="Calibri" w:hAnsi="Calibri" w:cs="Calibri"/>
          <w:b/>
          <w:bCs/>
          <w:color w:val="365F91"/>
          <w:sz w:val="28"/>
          <w:szCs w:val="28"/>
        </w:rPr>
        <w:t>4. Aansluiting bij de strategie van het adviesbureau (30%)</w:t>
      </w:r>
      <w:bookmarkEnd w:id="59"/>
    </w:p>
    <w:p w14:paraId="4015686A" w14:textId="3335CEB4" w:rsidR="32F1AED3" w:rsidRDefault="2E391325" w:rsidP="6D5ED2DD">
      <w:pPr>
        <w:spacing w:after="200" w:line="276" w:lineRule="auto"/>
      </w:pPr>
      <w:r w:rsidRPr="6D5ED2DD">
        <w:rPr>
          <w:rFonts w:ascii="Cambria" w:eastAsia="Cambria" w:hAnsi="Cambria" w:cs="Cambria"/>
          <w:b/>
          <w:bCs/>
          <w:i/>
          <w:iCs/>
          <w:sz w:val="22"/>
          <w:szCs w:val="22"/>
          <w:lang w:val="en-GB"/>
        </w:rPr>
        <w:t>Robeco Financial Institutions Bonds B EUR</w:t>
      </w:r>
    </w:p>
    <w:p w14:paraId="0F68A1D0" w14:textId="2AAB9556" w:rsidR="32F1AED3" w:rsidRDefault="2E391325" w:rsidP="6D5ED2DD">
      <w:pPr>
        <w:pStyle w:val="ListParagraph"/>
        <w:numPr>
          <w:ilvl w:val="0"/>
          <w:numId w:val="2"/>
        </w:numPr>
        <w:spacing w:after="0" w:line="276" w:lineRule="auto"/>
        <w:rPr>
          <w:rFonts w:ascii="Cambria" w:eastAsia="Cambria" w:hAnsi="Cambria" w:cs="Cambria"/>
          <w:sz w:val="22"/>
          <w:szCs w:val="22"/>
        </w:rPr>
      </w:pPr>
      <w:r w:rsidRPr="6D5ED2DD">
        <w:rPr>
          <w:rFonts w:ascii="Cambria" w:eastAsia="Cambria" w:hAnsi="Cambria" w:cs="Cambria"/>
          <w:b/>
          <w:bCs/>
          <w:sz w:val="22"/>
          <w:szCs w:val="22"/>
        </w:rPr>
        <w:t>Duurzaamheidsbeleid:</w:t>
      </w:r>
      <w:r w:rsidRPr="6D5ED2DD">
        <w:rPr>
          <w:rFonts w:ascii="Cambria" w:eastAsia="Cambria" w:hAnsi="Cambria" w:cs="Cambria"/>
          <w:sz w:val="22"/>
          <w:szCs w:val="22"/>
        </w:rPr>
        <w:t xml:space="preserve"> ESG-integratie is aanwezig, maar het fonds is </w:t>
      </w:r>
      <w:r w:rsidRPr="6D5ED2DD">
        <w:rPr>
          <w:rFonts w:ascii="Cambria" w:eastAsia="Cambria" w:hAnsi="Cambria" w:cs="Cambria"/>
          <w:i/>
          <w:iCs/>
          <w:sz w:val="22"/>
          <w:szCs w:val="22"/>
        </w:rPr>
        <w:t>niet</w:t>
      </w:r>
      <w:r w:rsidRPr="6D5ED2DD">
        <w:rPr>
          <w:rFonts w:ascii="Cambria" w:eastAsia="Cambria" w:hAnsi="Cambria" w:cs="Cambria"/>
          <w:sz w:val="22"/>
          <w:szCs w:val="22"/>
        </w:rPr>
        <w:t xml:space="preserve"> ontworpen als impact- of thematisch duurzaam fonds. Het past Robeco’s brede ESG-framework toe, maar duurzaamheid is geen primaire selectievoorwaarde.</w:t>
      </w:r>
    </w:p>
    <w:p w14:paraId="6A34DF90" w14:textId="7527541A" w:rsidR="32F1AED3" w:rsidRDefault="2E391325" w:rsidP="6D5ED2DD">
      <w:pPr>
        <w:pStyle w:val="ListParagraph"/>
        <w:numPr>
          <w:ilvl w:val="0"/>
          <w:numId w:val="2"/>
        </w:numPr>
        <w:spacing w:after="0" w:line="276" w:lineRule="auto"/>
        <w:rPr>
          <w:rFonts w:ascii="Cambria" w:eastAsia="Cambria" w:hAnsi="Cambria" w:cs="Cambria"/>
          <w:sz w:val="22"/>
          <w:szCs w:val="22"/>
        </w:rPr>
      </w:pPr>
      <w:r w:rsidRPr="6D5ED2DD">
        <w:rPr>
          <w:rFonts w:ascii="Cambria" w:eastAsia="Cambria" w:hAnsi="Cambria" w:cs="Cambria"/>
          <w:b/>
          <w:bCs/>
          <w:sz w:val="22"/>
          <w:szCs w:val="22"/>
        </w:rPr>
        <w:t>Besluitvormingscriteria:</w:t>
      </w:r>
      <w:r w:rsidRPr="6D5ED2DD">
        <w:rPr>
          <w:rFonts w:ascii="Cambria" w:eastAsia="Cambria" w:hAnsi="Cambria" w:cs="Cambria"/>
          <w:sz w:val="22"/>
          <w:szCs w:val="22"/>
        </w:rPr>
        <w:t xml:space="preserve"> het fonds gebruikt: kredietanalyse, ESG-integratie, sectorresearch, uitsluitingen (volgens Robeco-breed beleid) en engagement via Robeco’s stewardshipteam.</w:t>
      </w:r>
    </w:p>
    <w:p w14:paraId="5B1E229F" w14:textId="03C9C09A" w:rsidR="32F1AED3" w:rsidRDefault="2E391325" w:rsidP="6D5ED2DD">
      <w:pPr>
        <w:pStyle w:val="ListParagraph"/>
        <w:numPr>
          <w:ilvl w:val="0"/>
          <w:numId w:val="2"/>
        </w:numPr>
        <w:spacing w:after="0" w:line="276" w:lineRule="auto"/>
        <w:rPr>
          <w:rFonts w:ascii="Cambria" w:eastAsia="Cambria" w:hAnsi="Cambria" w:cs="Cambria"/>
          <w:sz w:val="22"/>
          <w:szCs w:val="22"/>
        </w:rPr>
      </w:pPr>
      <w:r w:rsidRPr="6D5ED2DD">
        <w:rPr>
          <w:rFonts w:ascii="Cambria" w:eastAsia="Cambria" w:hAnsi="Cambria" w:cs="Cambria"/>
          <w:b/>
          <w:bCs/>
          <w:sz w:val="22"/>
          <w:szCs w:val="22"/>
        </w:rPr>
        <w:t>Striktheid criteria:</w:t>
      </w:r>
      <w:r w:rsidRPr="6D5ED2DD">
        <w:rPr>
          <w:rFonts w:ascii="Cambria" w:eastAsia="Cambria" w:hAnsi="Cambria" w:cs="Cambria"/>
          <w:sz w:val="22"/>
          <w:szCs w:val="22"/>
        </w:rPr>
        <w:t xml:space="preserve"> redelijke mate van striktheid, maar minder sterk dan volledig duurzame fondsen; uitsluitingen zijn beperkt en vooral risicogedreven.</w:t>
      </w:r>
    </w:p>
    <w:p w14:paraId="65DB0B7B" w14:textId="38F4C619" w:rsidR="32F1AED3" w:rsidRDefault="2E391325" w:rsidP="6D5ED2DD">
      <w:pPr>
        <w:spacing w:after="200" w:line="276" w:lineRule="auto"/>
      </w:pPr>
      <w:r w:rsidRPr="6D5ED2DD">
        <w:rPr>
          <w:rFonts w:ascii="Cambria" w:eastAsia="Cambria" w:hAnsi="Cambria" w:cs="Cambria"/>
          <w:b/>
          <w:bCs/>
          <w:sz w:val="22"/>
          <w:szCs w:val="22"/>
        </w:rPr>
        <w:t>Aansluiting:</w:t>
      </w:r>
      <w:r w:rsidRPr="6D5ED2DD">
        <w:rPr>
          <w:rFonts w:ascii="Cambria" w:eastAsia="Cambria" w:hAnsi="Cambria" w:cs="Cambria"/>
          <w:sz w:val="22"/>
          <w:szCs w:val="22"/>
        </w:rPr>
        <w:t xml:space="preserve"> geschikt voor klanten die extra rendement zoeken binnen financiële instellingen, maar minder passend voor een strikt duurzaam profiel.</w:t>
      </w:r>
    </w:p>
    <w:p w14:paraId="2C49F92D" w14:textId="70791882" w:rsidR="32F1AED3" w:rsidRDefault="2E391325" w:rsidP="6D5ED2DD">
      <w:pPr>
        <w:spacing w:after="200" w:line="276" w:lineRule="auto"/>
      </w:pPr>
      <w:r w:rsidRPr="6D5ED2DD">
        <w:rPr>
          <w:rFonts w:ascii="Cambria" w:eastAsia="Cambria" w:hAnsi="Cambria" w:cs="Cambria"/>
          <w:b/>
          <w:bCs/>
          <w:i/>
          <w:iCs/>
          <w:sz w:val="22"/>
          <w:szCs w:val="22"/>
        </w:rPr>
        <w:t>ASN Obligatiefonds</w:t>
      </w:r>
    </w:p>
    <w:p w14:paraId="0F762005" w14:textId="6684D2B5" w:rsidR="32F1AED3" w:rsidRDefault="2E391325" w:rsidP="6D5ED2DD">
      <w:pPr>
        <w:pStyle w:val="ListParagraph"/>
        <w:numPr>
          <w:ilvl w:val="0"/>
          <w:numId w:val="1"/>
        </w:numPr>
        <w:spacing w:after="0" w:line="276" w:lineRule="auto"/>
        <w:rPr>
          <w:rFonts w:ascii="Cambria" w:eastAsia="Cambria" w:hAnsi="Cambria" w:cs="Cambria"/>
          <w:sz w:val="22"/>
          <w:szCs w:val="22"/>
        </w:rPr>
      </w:pPr>
      <w:r w:rsidRPr="6D5ED2DD">
        <w:rPr>
          <w:rFonts w:ascii="Cambria" w:eastAsia="Cambria" w:hAnsi="Cambria" w:cs="Cambria"/>
          <w:b/>
          <w:bCs/>
          <w:sz w:val="22"/>
          <w:szCs w:val="22"/>
        </w:rPr>
        <w:t>Duurzaamheidsbeleid:</w:t>
      </w:r>
      <w:r w:rsidRPr="6D5ED2DD">
        <w:rPr>
          <w:rFonts w:ascii="Cambria" w:eastAsia="Cambria" w:hAnsi="Cambria" w:cs="Cambria"/>
          <w:sz w:val="22"/>
          <w:szCs w:val="22"/>
        </w:rPr>
        <w:t xml:space="preserve"> zeer streng en volledig geïntegreerd; uitsluitend bedrijven en overheden die voldoen aan ASN’s sociale, ecologische en governance-eisen.</w:t>
      </w:r>
    </w:p>
    <w:p w14:paraId="7E71B581" w14:textId="4F2624EA" w:rsidR="32F1AED3" w:rsidRDefault="2E391325" w:rsidP="6D5ED2DD">
      <w:pPr>
        <w:pStyle w:val="ListParagraph"/>
        <w:numPr>
          <w:ilvl w:val="0"/>
          <w:numId w:val="1"/>
        </w:numPr>
        <w:spacing w:after="0" w:line="276" w:lineRule="auto"/>
        <w:rPr>
          <w:rFonts w:ascii="Cambria" w:eastAsia="Cambria" w:hAnsi="Cambria" w:cs="Cambria"/>
          <w:sz w:val="22"/>
          <w:szCs w:val="22"/>
        </w:rPr>
      </w:pPr>
      <w:r w:rsidRPr="6D5ED2DD">
        <w:rPr>
          <w:rFonts w:ascii="Cambria" w:eastAsia="Cambria" w:hAnsi="Cambria" w:cs="Cambria"/>
          <w:b/>
          <w:bCs/>
          <w:sz w:val="22"/>
          <w:szCs w:val="22"/>
        </w:rPr>
        <w:t>Besluitvormingscriteria:</w:t>
      </w:r>
      <w:r w:rsidRPr="6D5ED2DD">
        <w:rPr>
          <w:rFonts w:ascii="Cambria" w:eastAsia="Cambria" w:hAnsi="Cambria" w:cs="Cambria"/>
          <w:sz w:val="22"/>
          <w:szCs w:val="22"/>
        </w:rPr>
        <w:t xml:space="preserve"> uitsluitingen, uitgebreide ESG-screening, thematische doelstellingen (klimaat, mensenrechten), impactgericht beleid waar mogelijk.</w:t>
      </w:r>
    </w:p>
    <w:p w14:paraId="6C38FBE7" w14:textId="2A342BCD" w:rsidR="32F1AED3" w:rsidRDefault="2E391325" w:rsidP="6D5ED2DD">
      <w:pPr>
        <w:pStyle w:val="ListParagraph"/>
        <w:numPr>
          <w:ilvl w:val="0"/>
          <w:numId w:val="1"/>
        </w:numPr>
        <w:spacing w:after="0" w:line="276" w:lineRule="auto"/>
        <w:rPr>
          <w:rFonts w:ascii="Cambria" w:eastAsia="Cambria" w:hAnsi="Cambria" w:cs="Cambria"/>
          <w:sz w:val="22"/>
          <w:szCs w:val="22"/>
        </w:rPr>
      </w:pPr>
      <w:r w:rsidRPr="6D5ED2DD">
        <w:rPr>
          <w:rFonts w:ascii="Cambria" w:eastAsia="Cambria" w:hAnsi="Cambria" w:cs="Cambria"/>
          <w:b/>
          <w:bCs/>
          <w:sz w:val="22"/>
          <w:szCs w:val="22"/>
        </w:rPr>
        <w:t>Striktheid criteria:</w:t>
      </w:r>
      <w:r w:rsidRPr="6D5ED2DD">
        <w:rPr>
          <w:rFonts w:ascii="Cambria" w:eastAsia="Cambria" w:hAnsi="Cambria" w:cs="Cambria"/>
          <w:sz w:val="22"/>
          <w:szCs w:val="22"/>
        </w:rPr>
        <w:t xml:space="preserve"> ASN staat bekend als een van de strengste duurzame fondsaanbieders in Nederland.</w:t>
      </w:r>
    </w:p>
    <w:p w14:paraId="7BABBEAC" w14:textId="59A1BC16" w:rsidR="32F1AED3" w:rsidRDefault="2E391325" w:rsidP="6D5ED2DD">
      <w:pPr>
        <w:spacing w:after="200" w:line="276" w:lineRule="auto"/>
      </w:pPr>
      <w:r w:rsidRPr="6D5ED2DD">
        <w:rPr>
          <w:rFonts w:ascii="Cambria" w:eastAsia="Cambria" w:hAnsi="Cambria" w:cs="Cambria"/>
          <w:b/>
          <w:bCs/>
          <w:sz w:val="22"/>
          <w:szCs w:val="22"/>
        </w:rPr>
        <w:t>Aansluiting:</w:t>
      </w:r>
      <w:r w:rsidRPr="6D5ED2DD">
        <w:rPr>
          <w:rFonts w:ascii="Cambria" w:eastAsia="Cambria" w:hAnsi="Cambria" w:cs="Cambria"/>
          <w:sz w:val="22"/>
          <w:szCs w:val="22"/>
        </w:rPr>
        <w:t xml:space="preserve"> zeer passend voor klanten met een duurzaam, maatschappelijk bewust beleggingsprofiel.</w:t>
      </w:r>
    </w:p>
    <w:p w14:paraId="3F62EF47" w14:textId="689AFF49" w:rsidR="32F1AED3" w:rsidRDefault="2E391325" w:rsidP="6D5ED2DD">
      <w:pPr>
        <w:pStyle w:val="Heading1"/>
        <w:spacing w:before="480" w:after="0" w:line="276" w:lineRule="auto"/>
        <w:rPr>
          <w:rFonts w:ascii="Calibri" w:eastAsia="Calibri" w:hAnsi="Calibri" w:cs="Calibri"/>
          <w:b/>
          <w:bCs/>
          <w:color w:val="365F91"/>
          <w:sz w:val="28"/>
          <w:szCs w:val="28"/>
          <w:lang w:val="en-GB"/>
        </w:rPr>
      </w:pPr>
      <w:bookmarkStart w:id="60" w:name="_Toc1320197951"/>
      <w:r w:rsidRPr="6D5ED2DD">
        <w:rPr>
          <w:rFonts w:ascii="Calibri" w:eastAsia="Calibri" w:hAnsi="Calibri" w:cs="Calibri"/>
          <w:b/>
          <w:bCs/>
          <w:color w:val="365F91"/>
          <w:sz w:val="28"/>
          <w:szCs w:val="28"/>
          <w:lang w:val="en-GB"/>
        </w:rPr>
        <w:t>5. Klimaatrisico’s (10%)</w:t>
      </w:r>
      <w:bookmarkEnd w:id="60"/>
    </w:p>
    <w:p w14:paraId="59FED72C" w14:textId="230CC8C0" w:rsidR="32F1AED3" w:rsidRDefault="2E391325" w:rsidP="6D5ED2DD">
      <w:pPr>
        <w:spacing w:after="200" w:line="276" w:lineRule="auto"/>
      </w:pPr>
      <w:r w:rsidRPr="6D5ED2DD">
        <w:rPr>
          <w:rFonts w:ascii="Cambria" w:eastAsia="Cambria" w:hAnsi="Cambria" w:cs="Cambria"/>
          <w:b/>
          <w:bCs/>
          <w:i/>
          <w:iCs/>
          <w:sz w:val="22"/>
          <w:szCs w:val="22"/>
          <w:lang w:val="en-GB"/>
        </w:rPr>
        <w:t>Robeco Financial Institutions Bonds B EUR</w:t>
      </w:r>
    </w:p>
    <w:p w14:paraId="387C301E" w14:textId="3FB7B88B" w:rsidR="32F1AED3" w:rsidRDefault="2E391325" w:rsidP="6D5ED2DD">
      <w:pPr>
        <w:spacing w:after="200" w:line="276" w:lineRule="auto"/>
      </w:pPr>
      <w:r w:rsidRPr="6D5ED2DD">
        <w:rPr>
          <w:rFonts w:ascii="Cambria" w:eastAsia="Cambria" w:hAnsi="Cambria" w:cs="Cambria"/>
          <w:sz w:val="22"/>
          <w:szCs w:val="22"/>
        </w:rPr>
        <w:t>Klimaatrisico’s worden in redelijke mate besproken via Robeco’s algemene duurzaamheidsdocumentatie. Het fonds zelf geeft minder specifieke informatie over klimaatgerelateerde risico’s op de financiële sector. Risico’s zoals overgangsrisico bij banken worden wel benoemd, maar summier.</w:t>
      </w:r>
    </w:p>
    <w:p w14:paraId="12F9C1D6" w14:textId="7720DABD" w:rsidR="32F1AED3" w:rsidRDefault="2E391325" w:rsidP="6D5ED2DD">
      <w:pPr>
        <w:spacing w:after="200" w:line="276" w:lineRule="auto"/>
      </w:pPr>
      <w:r w:rsidRPr="6D5ED2DD">
        <w:rPr>
          <w:rFonts w:ascii="Cambria" w:eastAsia="Cambria" w:hAnsi="Cambria" w:cs="Cambria"/>
          <w:b/>
          <w:bCs/>
          <w:i/>
          <w:iCs/>
          <w:sz w:val="22"/>
          <w:szCs w:val="22"/>
        </w:rPr>
        <w:t>ASN Obligatiefonds</w:t>
      </w:r>
    </w:p>
    <w:p w14:paraId="6C01373B" w14:textId="4A7DE161" w:rsidR="32F1AED3" w:rsidRDefault="2E391325" w:rsidP="6D5ED2DD">
      <w:pPr>
        <w:spacing w:after="200" w:line="276" w:lineRule="auto"/>
      </w:pPr>
      <w:r w:rsidRPr="6D5ED2DD">
        <w:rPr>
          <w:rFonts w:ascii="Cambria" w:eastAsia="Cambria" w:hAnsi="Cambria" w:cs="Cambria"/>
          <w:sz w:val="22"/>
          <w:szCs w:val="22"/>
        </w:rPr>
        <w:t>ASN communiceert uitgebreid over klimaatrisico’s. Het fonds hanteert duidelijke doelen omtrent CO₂-reductie en onderzoekt de klimaatimpact van alle emittenten. Rapportage is transparant, en klimaatrisico’s zijn onderdeel van de formele selectie.</w:t>
      </w:r>
    </w:p>
    <w:p w14:paraId="64860B3C" w14:textId="0F804CB2" w:rsidR="32F1AED3" w:rsidRDefault="2E391325" w:rsidP="6D5ED2DD">
      <w:pPr>
        <w:pStyle w:val="Heading1"/>
        <w:spacing w:before="480" w:after="0" w:line="276" w:lineRule="auto"/>
        <w:rPr>
          <w:rFonts w:ascii="Calibri" w:eastAsia="Calibri" w:hAnsi="Calibri" w:cs="Calibri"/>
          <w:b/>
          <w:bCs/>
          <w:color w:val="365F91"/>
          <w:sz w:val="28"/>
          <w:szCs w:val="28"/>
          <w:lang w:val="en-GB"/>
        </w:rPr>
      </w:pPr>
      <w:bookmarkStart w:id="61" w:name="_Toc1475353659"/>
      <w:r w:rsidRPr="6D5ED2DD">
        <w:rPr>
          <w:rFonts w:ascii="Calibri" w:eastAsia="Calibri" w:hAnsi="Calibri" w:cs="Calibri"/>
          <w:b/>
          <w:bCs/>
          <w:color w:val="365F91"/>
          <w:sz w:val="28"/>
          <w:szCs w:val="28"/>
          <w:lang w:val="en-GB"/>
        </w:rPr>
        <w:t>6. Klantcommunicatie (10%)</w:t>
      </w:r>
      <w:bookmarkEnd w:id="61"/>
    </w:p>
    <w:p w14:paraId="39282B0D" w14:textId="53FA094B" w:rsidR="32F1AED3" w:rsidRDefault="2E391325" w:rsidP="6D5ED2DD">
      <w:pPr>
        <w:spacing w:after="200" w:line="276" w:lineRule="auto"/>
      </w:pPr>
      <w:r w:rsidRPr="6D5ED2DD">
        <w:rPr>
          <w:rFonts w:ascii="Cambria" w:eastAsia="Cambria" w:hAnsi="Cambria" w:cs="Cambria"/>
          <w:b/>
          <w:bCs/>
          <w:i/>
          <w:iCs/>
          <w:sz w:val="22"/>
          <w:szCs w:val="22"/>
          <w:lang w:val="en-GB"/>
        </w:rPr>
        <w:t>Robeco Financial Institutions Bonds B EUR</w:t>
      </w:r>
    </w:p>
    <w:p w14:paraId="60256E3A" w14:textId="40B89C62" w:rsidR="32F1AED3" w:rsidRDefault="2E391325" w:rsidP="6D5ED2DD">
      <w:pPr>
        <w:spacing w:after="200" w:line="276" w:lineRule="auto"/>
      </w:pPr>
      <w:r w:rsidRPr="6D5ED2DD">
        <w:rPr>
          <w:rFonts w:ascii="Cambria" w:eastAsia="Cambria" w:hAnsi="Cambria" w:cs="Cambria"/>
          <w:sz w:val="22"/>
          <w:szCs w:val="22"/>
        </w:rPr>
        <w:t>Professionele en uitgebreide documentatie, maar vaak geschreven voor ervaren beleggers. Informatie is volledig, maar minder toegankelijk voor particulieren. ESG-informatie is aanwezig maar niet altijd fonds-specifiek.</w:t>
      </w:r>
    </w:p>
    <w:p w14:paraId="218D29FD" w14:textId="575B9307" w:rsidR="32F1AED3" w:rsidRDefault="2E391325" w:rsidP="6D5ED2DD">
      <w:pPr>
        <w:spacing w:after="200" w:line="276" w:lineRule="auto"/>
      </w:pPr>
      <w:r w:rsidRPr="6D5ED2DD">
        <w:rPr>
          <w:rFonts w:ascii="Cambria" w:eastAsia="Cambria" w:hAnsi="Cambria" w:cs="Cambria"/>
          <w:b/>
          <w:bCs/>
          <w:i/>
          <w:iCs/>
          <w:sz w:val="22"/>
          <w:szCs w:val="22"/>
        </w:rPr>
        <w:t>ASN Obligatiefonds</w:t>
      </w:r>
    </w:p>
    <w:p w14:paraId="057955A0" w14:textId="7668872A" w:rsidR="32F1AED3" w:rsidRDefault="2E391325" w:rsidP="6D5ED2DD">
      <w:pPr>
        <w:spacing w:after="200" w:line="276" w:lineRule="auto"/>
      </w:pPr>
      <w:r w:rsidRPr="6D5ED2DD">
        <w:rPr>
          <w:rFonts w:ascii="Cambria" w:eastAsia="Cambria" w:hAnsi="Cambria" w:cs="Cambria"/>
          <w:sz w:val="22"/>
          <w:szCs w:val="22"/>
        </w:rPr>
        <w:t>Zeer duidelijke en toegankelijke communicatie. ASN richt zich sterk op begrijpelijkheid en legt in eenvoudige taal uit wat de duurzame impact is. De vindbaarheid van informatie op de website is uitstekend.</w:t>
      </w:r>
    </w:p>
    <w:p w14:paraId="5017FBD3" w14:textId="60EF092B" w:rsidR="32F1AED3" w:rsidRDefault="2E391325" w:rsidP="6D5ED2DD">
      <w:pPr>
        <w:spacing w:after="200" w:line="276" w:lineRule="auto"/>
      </w:pPr>
      <w:r w:rsidRPr="6D5ED2DD">
        <w:rPr>
          <w:rFonts w:ascii="Cambria" w:eastAsia="Cambria" w:hAnsi="Cambria" w:cs="Cambria"/>
          <w:sz w:val="22"/>
          <w:szCs w:val="22"/>
        </w:rPr>
        <w:t xml:space="preserve"> </w:t>
      </w:r>
    </w:p>
    <w:p w14:paraId="00BFD43D" w14:textId="03553F4D" w:rsidR="32F1AED3" w:rsidRDefault="32F1AED3" w:rsidP="6D5ED2DD">
      <w:pPr>
        <w:spacing w:after="200" w:line="276" w:lineRule="auto"/>
        <w:rPr>
          <w:rFonts w:ascii="Cambria" w:eastAsia="Cambria" w:hAnsi="Cambria" w:cs="Cambria"/>
          <w:sz w:val="22"/>
          <w:szCs w:val="22"/>
        </w:rPr>
      </w:pPr>
    </w:p>
    <w:p w14:paraId="4BBD30AB" w14:textId="31C8E612" w:rsidR="32F1AED3" w:rsidRDefault="32F1AED3" w:rsidP="6D5ED2DD">
      <w:pPr>
        <w:spacing w:after="0"/>
        <w:rPr>
          <w:rFonts w:ascii="Times New Roman" w:eastAsia="Times New Roman" w:hAnsi="Times New Roman" w:cs="Times New Roman"/>
          <w:b/>
          <w:bCs/>
        </w:rPr>
      </w:pPr>
    </w:p>
    <w:p w14:paraId="6079528D" w14:textId="43259C8B" w:rsidR="32F1AED3" w:rsidRDefault="21D74ABE" w:rsidP="6D5ED2DD">
      <w:pPr>
        <w:pStyle w:val="Heading2"/>
        <w:spacing w:before="40" w:after="0"/>
        <w:rPr>
          <w:rFonts w:ascii="Calibri Light" w:eastAsia="Calibri Light" w:hAnsi="Calibri Light" w:cs="Calibri Light"/>
          <w:color w:val="2F5496"/>
          <w:sz w:val="26"/>
          <w:szCs w:val="26"/>
        </w:rPr>
      </w:pPr>
      <w:bookmarkStart w:id="62" w:name="_Toc20343218"/>
      <w:r w:rsidRPr="6D5ED2DD">
        <w:rPr>
          <w:rFonts w:ascii="Calibri Light" w:eastAsia="Calibri Light" w:hAnsi="Calibri Light" w:cs="Calibri Light"/>
          <w:color w:val="2F5496"/>
          <w:sz w:val="26"/>
          <w:szCs w:val="26"/>
        </w:rPr>
        <w:t>2.12 Bronnenlijst (APA 7</w:t>
      </w:r>
      <w:r w:rsidRPr="6D5ED2DD">
        <w:rPr>
          <w:rFonts w:ascii="Calibri Light" w:eastAsia="Calibri Light" w:hAnsi="Calibri Light" w:cs="Calibri Light"/>
          <w:color w:val="2F5496"/>
          <w:sz w:val="26"/>
          <w:szCs w:val="26"/>
          <w:vertAlign w:val="superscript"/>
        </w:rPr>
        <w:t>e</w:t>
      </w:r>
      <w:r w:rsidRPr="6D5ED2DD">
        <w:rPr>
          <w:rFonts w:ascii="Calibri Light" w:eastAsia="Calibri Light" w:hAnsi="Calibri Light" w:cs="Calibri Light"/>
          <w:color w:val="2F5496"/>
          <w:sz w:val="26"/>
          <w:szCs w:val="26"/>
        </w:rPr>
        <w:t xml:space="preserve"> editie)</w:t>
      </w:r>
      <w:bookmarkEnd w:id="62"/>
    </w:p>
    <w:p w14:paraId="761108AF" w14:textId="1E02DAD2" w:rsidR="32F1AED3" w:rsidRDefault="32F1AED3" w:rsidP="2A259567">
      <w:pPr>
        <w:spacing w:after="0"/>
      </w:pPr>
      <w:r w:rsidRPr="00F65EAB">
        <w:rPr>
          <w:rFonts w:ascii="Calibri" w:eastAsia="Calibri" w:hAnsi="Calibri" w:cs="Calibri"/>
        </w:rPr>
        <w:t xml:space="preserve">Allianz. </w:t>
      </w:r>
      <w:r w:rsidRPr="2A259567">
        <w:rPr>
          <w:rFonts w:ascii="Calibri" w:eastAsia="Calibri" w:hAnsi="Calibri" w:cs="Calibri"/>
          <w:lang w:val="en-US"/>
        </w:rPr>
        <w:t>(</w:t>
      </w:r>
      <w:proofErr w:type="spellStart"/>
      <w:r w:rsidRPr="2A259567">
        <w:rPr>
          <w:rFonts w:ascii="Calibri" w:eastAsia="Calibri" w:hAnsi="Calibri" w:cs="Calibri"/>
          <w:lang w:val="en-US"/>
        </w:rPr>
        <w:t>z.d</w:t>
      </w:r>
      <w:proofErr w:type="spellEnd"/>
      <w:r w:rsidRPr="2A259567">
        <w:rPr>
          <w:rFonts w:ascii="Calibri" w:eastAsia="Calibri" w:hAnsi="Calibri" w:cs="Calibri"/>
          <w:lang w:val="en-US"/>
        </w:rPr>
        <w:t xml:space="preserve">.-a). </w:t>
      </w:r>
      <w:r w:rsidRPr="2A259567">
        <w:rPr>
          <w:rFonts w:ascii="Calibri" w:eastAsia="Calibri" w:hAnsi="Calibri" w:cs="Calibri"/>
          <w:i/>
          <w:iCs/>
          <w:lang w:val="en-US"/>
        </w:rPr>
        <w:t>Allianz Climate Transition</w:t>
      </w:r>
      <w:r w:rsidRPr="2A259567">
        <w:rPr>
          <w:rFonts w:ascii="Calibri" w:eastAsia="Calibri" w:hAnsi="Calibri" w:cs="Calibri"/>
          <w:lang w:val="en-US"/>
        </w:rPr>
        <w:t xml:space="preserve">. </w:t>
      </w:r>
      <w:r w:rsidRPr="2A259567">
        <w:rPr>
          <w:rFonts w:ascii="Calibri" w:eastAsia="Calibri" w:hAnsi="Calibri" w:cs="Calibri"/>
        </w:rPr>
        <w:t xml:space="preserve">Allianz Global </w:t>
      </w:r>
      <w:proofErr w:type="spellStart"/>
      <w:r w:rsidRPr="2A259567">
        <w:rPr>
          <w:rFonts w:ascii="Calibri" w:eastAsia="Calibri" w:hAnsi="Calibri" w:cs="Calibri"/>
        </w:rPr>
        <w:t>Investors</w:t>
      </w:r>
      <w:proofErr w:type="spellEnd"/>
      <w:r w:rsidRPr="2A259567">
        <w:rPr>
          <w:rFonts w:ascii="Calibri" w:eastAsia="Calibri" w:hAnsi="Calibri" w:cs="Calibri"/>
        </w:rPr>
        <w:t xml:space="preserve">. Geraadpleegd op 1 december 2025, van </w:t>
      </w:r>
      <w:hyperlink r:id="rId40">
        <w:r w:rsidRPr="2A259567">
          <w:rPr>
            <w:rStyle w:val="Hyperlink"/>
            <w:rFonts w:ascii="Calibri" w:eastAsia="Calibri" w:hAnsi="Calibri" w:cs="Calibri"/>
            <w:color w:val="0000FF"/>
          </w:rPr>
          <w:t>https://nl.allianzgi.com/nl-nl/pro/sustainable-investing/focus-funds/allianz-climate-transition</w:t>
        </w:r>
      </w:hyperlink>
    </w:p>
    <w:p w14:paraId="6CEAE5CC" w14:textId="22840BE1" w:rsidR="2A259567" w:rsidRPr="00F65EAB" w:rsidRDefault="2A259567" w:rsidP="2A259567">
      <w:pPr>
        <w:spacing w:after="0"/>
        <w:rPr>
          <w:rFonts w:ascii="Calibri" w:eastAsia="Calibri" w:hAnsi="Calibri" w:cs="Calibri"/>
        </w:rPr>
      </w:pPr>
    </w:p>
    <w:p w14:paraId="750F1367" w14:textId="3505510F" w:rsidR="32F1AED3" w:rsidRDefault="32F1AED3" w:rsidP="2A259567">
      <w:pPr>
        <w:spacing w:after="0"/>
      </w:pPr>
      <w:r w:rsidRPr="2A259567">
        <w:rPr>
          <w:rFonts w:ascii="Calibri" w:eastAsia="Calibri" w:hAnsi="Calibri" w:cs="Calibri"/>
          <w:lang w:val="en-US"/>
        </w:rPr>
        <w:t>Allianz. (</w:t>
      </w:r>
      <w:proofErr w:type="spellStart"/>
      <w:r w:rsidRPr="2A259567">
        <w:rPr>
          <w:rFonts w:ascii="Calibri" w:eastAsia="Calibri" w:hAnsi="Calibri" w:cs="Calibri"/>
          <w:lang w:val="en-US"/>
        </w:rPr>
        <w:t>z.d</w:t>
      </w:r>
      <w:proofErr w:type="spellEnd"/>
      <w:r w:rsidRPr="2A259567">
        <w:rPr>
          <w:rFonts w:ascii="Calibri" w:eastAsia="Calibri" w:hAnsi="Calibri" w:cs="Calibri"/>
          <w:lang w:val="en-US"/>
        </w:rPr>
        <w:t xml:space="preserve">.-b). </w:t>
      </w:r>
      <w:r w:rsidRPr="2A259567">
        <w:rPr>
          <w:rFonts w:ascii="Calibri" w:eastAsia="Calibri" w:hAnsi="Calibri" w:cs="Calibri"/>
          <w:i/>
          <w:iCs/>
          <w:lang w:val="en-US"/>
        </w:rPr>
        <w:t>Allianz Green Bond</w:t>
      </w:r>
      <w:r w:rsidRPr="2A259567">
        <w:rPr>
          <w:rFonts w:ascii="Calibri" w:eastAsia="Calibri" w:hAnsi="Calibri" w:cs="Calibri"/>
          <w:lang w:val="en-US"/>
        </w:rPr>
        <w:t xml:space="preserve">. </w:t>
      </w:r>
      <w:r w:rsidRPr="2A259567">
        <w:rPr>
          <w:rFonts w:ascii="Calibri" w:eastAsia="Calibri" w:hAnsi="Calibri" w:cs="Calibri"/>
        </w:rPr>
        <w:t xml:space="preserve">Allianz Global </w:t>
      </w:r>
      <w:proofErr w:type="spellStart"/>
      <w:r w:rsidRPr="2A259567">
        <w:rPr>
          <w:rFonts w:ascii="Calibri" w:eastAsia="Calibri" w:hAnsi="Calibri" w:cs="Calibri"/>
        </w:rPr>
        <w:t>Investors</w:t>
      </w:r>
      <w:proofErr w:type="spellEnd"/>
      <w:r w:rsidRPr="2A259567">
        <w:rPr>
          <w:rFonts w:ascii="Calibri" w:eastAsia="Calibri" w:hAnsi="Calibri" w:cs="Calibri"/>
        </w:rPr>
        <w:t xml:space="preserve">. Geraadpleegd op 1 december 2025, van </w:t>
      </w:r>
      <w:hyperlink r:id="rId41">
        <w:r w:rsidRPr="2A259567">
          <w:rPr>
            <w:rStyle w:val="Hyperlink"/>
            <w:rFonts w:ascii="Calibri" w:eastAsia="Calibri" w:hAnsi="Calibri" w:cs="Calibri"/>
            <w:color w:val="0000FF"/>
          </w:rPr>
          <w:t>https://nl.allianzgi.com/nl-nl/nl-onze-fondsen/fondsen/list/allianz-green-bond-p-eur?nav=overview</w:t>
        </w:r>
      </w:hyperlink>
    </w:p>
    <w:p w14:paraId="26335EB8" w14:textId="31D22EB3" w:rsidR="32F1AED3" w:rsidRDefault="32F1AED3" w:rsidP="2A259567">
      <w:pPr>
        <w:spacing w:after="0"/>
      </w:pPr>
      <w:r w:rsidRPr="2A259567">
        <w:rPr>
          <w:rFonts w:ascii="Calibri" w:eastAsia="Calibri" w:hAnsi="Calibri" w:cs="Calibri"/>
          <w:lang w:val="en-US"/>
        </w:rPr>
        <w:t>Allianz Global Investors. (</w:t>
      </w:r>
      <w:proofErr w:type="spellStart"/>
      <w:r w:rsidRPr="2A259567">
        <w:rPr>
          <w:rFonts w:ascii="Calibri" w:eastAsia="Calibri" w:hAnsi="Calibri" w:cs="Calibri"/>
          <w:lang w:val="en-US"/>
        </w:rPr>
        <w:t>z.d</w:t>
      </w:r>
      <w:proofErr w:type="spellEnd"/>
      <w:r w:rsidRPr="2A259567">
        <w:rPr>
          <w:rFonts w:ascii="Calibri" w:eastAsia="Calibri" w:hAnsi="Calibri" w:cs="Calibri"/>
          <w:lang w:val="en-US"/>
        </w:rPr>
        <w:t xml:space="preserve">.). </w:t>
      </w:r>
      <w:r w:rsidRPr="2A259567">
        <w:rPr>
          <w:rFonts w:ascii="Calibri" w:eastAsia="Calibri" w:hAnsi="Calibri" w:cs="Calibri"/>
          <w:i/>
          <w:iCs/>
          <w:lang w:val="en-US"/>
        </w:rPr>
        <w:t>Allianz Green Bond</w:t>
      </w:r>
      <w:r w:rsidRPr="2A259567">
        <w:rPr>
          <w:rFonts w:ascii="Calibri" w:eastAsia="Calibri" w:hAnsi="Calibri" w:cs="Calibri"/>
          <w:lang w:val="en-US"/>
        </w:rPr>
        <w:t xml:space="preserve">. </w:t>
      </w:r>
      <w:r w:rsidRPr="2A259567">
        <w:rPr>
          <w:rFonts w:ascii="Calibri" w:eastAsia="Calibri" w:hAnsi="Calibri" w:cs="Calibri"/>
        </w:rPr>
        <w:t xml:space="preserve">Geraadpleegd op 1 december 2025, van </w:t>
      </w:r>
      <w:hyperlink r:id="rId42">
        <w:r w:rsidRPr="2A259567">
          <w:rPr>
            <w:rStyle w:val="Hyperlink"/>
            <w:rFonts w:ascii="Calibri" w:eastAsia="Calibri" w:hAnsi="Calibri" w:cs="Calibri"/>
            <w:color w:val="0000FF"/>
          </w:rPr>
          <w:t>https://nl.allianzgi.com/nl-nl/pro/sustainable-investing/focus-funds/allianz-green-bond</w:t>
        </w:r>
      </w:hyperlink>
    </w:p>
    <w:p w14:paraId="6B90E801" w14:textId="050C15FA" w:rsidR="2A259567" w:rsidRDefault="2A259567" w:rsidP="2A259567">
      <w:pPr>
        <w:spacing w:after="0"/>
        <w:rPr>
          <w:rFonts w:ascii="Calibri" w:eastAsia="Calibri" w:hAnsi="Calibri" w:cs="Calibri"/>
        </w:rPr>
      </w:pPr>
    </w:p>
    <w:p w14:paraId="269AE44A" w14:textId="1997FC12" w:rsidR="32F1AED3" w:rsidRDefault="32F1AED3" w:rsidP="2A259567">
      <w:pPr>
        <w:spacing w:after="0"/>
      </w:pPr>
      <w:r w:rsidRPr="2A259567">
        <w:rPr>
          <w:rFonts w:ascii="Calibri" w:eastAsia="Calibri" w:hAnsi="Calibri" w:cs="Calibri"/>
        </w:rPr>
        <w:t xml:space="preserve">ASN Bank. (2025). </w:t>
      </w:r>
      <w:proofErr w:type="spellStart"/>
      <w:r w:rsidRPr="2A259567">
        <w:rPr>
          <w:rFonts w:ascii="Calibri" w:eastAsia="Calibri" w:hAnsi="Calibri" w:cs="Calibri"/>
          <w:i/>
          <w:iCs/>
        </w:rPr>
        <w:t>Factsheet</w:t>
      </w:r>
      <w:proofErr w:type="spellEnd"/>
      <w:r w:rsidRPr="2A259567">
        <w:rPr>
          <w:rFonts w:ascii="Calibri" w:eastAsia="Calibri" w:hAnsi="Calibri" w:cs="Calibri"/>
          <w:i/>
          <w:iCs/>
        </w:rPr>
        <w:t xml:space="preserve"> ASN Energie &amp; Innovatiefonds R (NL0014270258)</w:t>
      </w:r>
      <w:r w:rsidRPr="2A259567">
        <w:rPr>
          <w:rFonts w:ascii="Calibri" w:eastAsia="Calibri" w:hAnsi="Calibri" w:cs="Calibri"/>
        </w:rPr>
        <w:t xml:space="preserve">. Geraadpleegd op 1 december 2025, van </w:t>
      </w:r>
      <w:hyperlink r:id="rId43">
        <w:r w:rsidRPr="2A259567">
          <w:rPr>
            <w:rStyle w:val="Hyperlink"/>
            <w:rFonts w:ascii="Calibri" w:eastAsia="Calibri" w:hAnsi="Calibri" w:cs="Calibri"/>
            <w:color w:val="0000FF"/>
          </w:rPr>
          <w:t>https://beleggingsfondsen.asnbank.nl/home-particulier/fondsen-particulier/asn-energie-innovatiefonds-1.html</w:t>
        </w:r>
      </w:hyperlink>
    </w:p>
    <w:p w14:paraId="34862892" w14:textId="4F475EB6" w:rsidR="2A259567" w:rsidRDefault="2A259567" w:rsidP="2A259567">
      <w:pPr>
        <w:spacing w:after="0"/>
        <w:rPr>
          <w:rFonts w:ascii="Calibri" w:eastAsia="Calibri" w:hAnsi="Calibri" w:cs="Calibri"/>
        </w:rPr>
      </w:pPr>
    </w:p>
    <w:p w14:paraId="791F23B4" w14:textId="5F5BC3FD" w:rsidR="32F1AED3" w:rsidRDefault="32F1AED3" w:rsidP="2A259567">
      <w:pPr>
        <w:spacing w:after="0"/>
      </w:pPr>
      <w:r w:rsidRPr="2A259567">
        <w:rPr>
          <w:rFonts w:ascii="Calibri" w:eastAsia="Calibri" w:hAnsi="Calibri" w:cs="Calibri"/>
        </w:rPr>
        <w:t xml:space="preserve">ASN Bank. (2025a, 8 juli). </w:t>
      </w:r>
      <w:r w:rsidRPr="2A259567">
        <w:rPr>
          <w:rFonts w:ascii="Calibri" w:eastAsia="Calibri" w:hAnsi="Calibri" w:cs="Calibri"/>
          <w:i/>
          <w:iCs/>
        </w:rPr>
        <w:t>ASN Energie &amp; Innovatiefonds – ASN beleggingsfondsen</w:t>
      </w:r>
      <w:r w:rsidRPr="2A259567">
        <w:rPr>
          <w:rFonts w:ascii="Calibri" w:eastAsia="Calibri" w:hAnsi="Calibri" w:cs="Calibri"/>
        </w:rPr>
        <w:t xml:space="preserve">. Geraadpleegd op 1 december 2025, van </w:t>
      </w:r>
      <w:hyperlink r:id="rId44">
        <w:r w:rsidRPr="2A259567">
          <w:rPr>
            <w:rStyle w:val="Hyperlink"/>
            <w:rFonts w:ascii="Calibri" w:eastAsia="Calibri" w:hAnsi="Calibri" w:cs="Calibri"/>
            <w:color w:val="0000FF"/>
          </w:rPr>
          <w:t>https://beleggingsfondsen.asnbank.nl/home-particulier/fondsen-particulier/asn-energie-innovatiefonds-1.html</w:t>
        </w:r>
      </w:hyperlink>
    </w:p>
    <w:p w14:paraId="79FAB65B" w14:textId="07FC1CCA" w:rsidR="2A259567" w:rsidRPr="00F65EAB" w:rsidRDefault="2A259567" w:rsidP="2A259567">
      <w:pPr>
        <w:spacing w:after="0"/>
        <w:rPr>
          <w:rFonts w:ascii="Calibri" w:eastAsia="Calibri" w:hAnsi="Calibri" w:cs="Calibri"/>
        </w:rPr>
      </w:pPr>
    </w:p>
    <w:p w14:paraId="03863BB6" w14:textId="260CE273" w:rsidR="32F1AED3" w:rsidRDefault="32F1AED3" w:rsidP="2A259567">
      <w:pPr>
        <w:spacing w:after="0"/>
      </w:pPr>
      <w:r w:rsidRPr="2A259567">
        <w:rPr>
          <w:rFonts w:ascii="Calibri" w:eastAsia="Calibri" w:hAnsi="Calibri" w:cs="Calibri"/>
          <w:lang w:val="en-US"/>
        </w:rPr>
        <w:t xml:space="preserve">Morningstar. (2025). </w:t>
      </w:r>
      <w:r w:rsidRPr="2A259567">
        <w:rPr>
          <w:rFonts w:ascii="Calibri" w:eastAsia="Calibri" w:hAnsi="Calibri" w:cs="Calibri"/>
          <w:i/>
          <w:iCs/>
          <w:lang w:val="en-US"/>
        </w:rPr>
        <w:t>Robeco US Green Bonds SH € Cap (LU2352503069)</w:t>
      </w:r>
      <w:r w:rsidRPr="2A259567">
        <w:rPr>
          <w:rFonts w:ascii="Calibri" w:eastAsia="Calibri" w:hAnsi="Calibri" w:cs="Calibri"/>
          <w:lang w:val="en-US"/>
        </w:rPr>
        <w:t xml:space="preserve">. </w:t>
      </w:r>
      <w:proofErr w:type="spellStart"/>
      <w:r w:rsidRPr="2A259567">
        <w:rPr>
          <w:rFonts w:ascii="Calibri" w:eastAsia="Calibri" w:hAnsi="Calibri" w:cs="Calibri"/>
        </w:rPr>
        <w:t>Morningstar</w:t>
      </w:r>
      <w:proofErr w:type="spellEnd"/>
      <w:r w:rsidRPr="2A259567">
        <w:rPr>
          <w:rFonts w:ascii="Calibri" w:eastAsia="Calibri" w:hAnsi="Calibri" w:cs="Calibri"/>
        </w:rPr>
        <w:t xml:space="preserve">, Inc. Geraadpleegd op 1 december 2025, van </w:t>
      </w:r>
      <w:hyperlink r:id="rId45">
        <w:r w:rsidRPr="2A259567">
          <w:rPr>
            <w:rStyle w:val="Hyperlink"/>
            <w:rFonts w:ascii="Calibri" w:eastAsia="Calibri" w:hAnsi="Calibri" w:cs="Calibri"/>
            <w:color w:val="0000FF"/>
          </w:rPr>
          <w:t>https://global.morningstar.com/nl/beleggingen/fondsen/F00001AMTQ/quote</w:t>
        </w:r>
      </w:hyperlink>
    </w:p>
    <w:p w14:paraId="421641F3" w14:textId="64F3A40A" w:rsidR="2A259567" w:rsidRPr="00F65EAB" w:rsidRDefault="2A259567" w:rsidP="2A259567">
      <w:pPr>
        <w:spacing w:after="0"/>
        <w:rPr>
          <w:rFonts w:ascii="Calibri" w:eastAsia="Calibri" w:hAnsi="Calibri" w:cs="Calibri"/>
        </w:rPr>
      </w:pPr>
    </w:p>
    <w:p w14:paraId="0B32A7E5" w14:textId="3BD7ABAD" w:rsidR="32F1AED3" w:rsidRDefault="32F1AED3" w:rsidP="2A259567">
      <w:pPr>
        <w:spacing w:after="0"/>
      </w:pPr>
      <w:r w:rsidRPr="2A259567">
        <w:rPr>
          <w:rFonts w:ascii="Calibri" w:eastAsia="Calibri" w:hAnsi="Calibri" w:cs="Calibri"/>
          <w:lang w:val="en-US"/>
        </w:rPr>
        <w:t xml:space="preserve">Morningstar. (2025a). </w:t>
      </w:r>
      <w:r w:rsidRPr="2A259567">
        <w:rPr>
          <w:rFonts w:ascii="Calibri" w:eastAsia="Calibri" w:hAnsi="Calibri" w:cs="Calibri"/>
          <w:i/>
          <w:iCs/>
          <w:lang w:val="en-US"/>
        </w:rPr>
        <w:t>Robeco US Green Bonds KH € Acc (LU2489394861)</w:t>
      </w:r>
      <w:r w:rsidRPr="2A259567">
        <w:rPr>
          <w:rFonts w:ascii="Calibri" w:eastAsia="Calibri" w:hAnsi="Calibri" w:cs="Calibri"/>
          <w:lang w:val="en-US"/>
        </w:rPr>
        <w:t xml:space="preserve">. </w:t>
      </w:r>
      <w:proofErr w:type="spellStart"/>
      <w:r w:rsidRPr="2A259567">
        <w:rPr>
          <w:rFonts w:ascii="Calibri" w:eastAsia="Calibri" w:hAnsi="Calibri" w:cs="Calibri"/>
        </w:rPr>
        <w:t>Morningstar</w:t>
      </w:r>
      <w:proofErr w:type="spellEnd"/>
      <w:r w:rsidRPr="2A259567">
        <w:rPr>
          <w:rFonts w:ascii="Calibri" w:eastAsia="Calibri" w:hAnsi="Calibri" w:cs="Calibri"/>
        </w:rPr>
        <w:t xml:space="preserve">, Inc. Geraadpleegd op 1 december 2025, van </w:t>
      </w:r>
      <w:hyperlink r:id="rId46">
        <w:r w:rsidRPr="2A259567">
          <w:rPr>
            <w:rStyle w:val="Hyperlink"/>
            <w:rFonts w:ascii="Calibri" w:eastAsia="Calibri" w:hAnsi="Calibri" w:cs="Calibri"/>
            <w:color w:val="0000FF"/>
          </w:rPr>
          <w:t>https://global.morningstar.com/nl/beleggingen/fondsen/F00001E1OS/portefeuille</w:t>
        </w:r>
      </w:hyperlink>
    </w:p>
    <w:p w14:paraId="0ECD65B4" w14:textId="2FE9C13E" w:rsidR="2A259567" w:rsidRPr="00F65EAB" w:rsidRDefault="2A259567" w:rsidP="2A259567">
      <w:pPr>
        <w:spacing w:after="0"/>
        <w:rPr>
          <w:rFonts w:ascii="Calibri" w:eastAsia="Calibri" w:hAnsi="Calibri" w:cs="Calibri"/>
        </w:rPr>
      </w:pPr>
    </w:p>
    <w:p w14:paraId="2E45555D" w14:textId="56843B6A" w:rsidR="32F1AED3" w:rsidRDefault="32F1AED3" w:rsidP="2A259567">
      <w:pPr>
        <w:spacing w:after="0"/>
      </w:pPr>
      <w:r w:rsidRPr="2A259567">
        <w:rPr>
          <w:rFonts w:ascii="Calibri" w:eastAsia="Calibri" w:hAnsi="Calibri" w:cs="Calibri"/>
          <w:lang w:val="en-US"/>
        </w:rPr>
        <w:t xml:space="preserve">Morningstar. (2025b). </w:t>
      </w:r>
      <w:r w:rsidRPr="2A259567">
        <w:rPr>
          <w:rFonts w:ascii="Calibri" w:eastAsia="Calibri" w:hAnsi="Calibri" w:cs="Calibri"/>
          <w:i/>
          <w:iCs/>
          <w:lang w:val="en-US"/>
        </w:rPr>
        <w:t>Allianz Green Bond AT EUR (LU1542252181)</w:t>
      </w:r>
      <w:r w:rsidRPr="2A259567">
        <w:rPr>
          <w:rFonts w:ascii="Calibri" w:eastAsia="Calibri" w:hAnsi="Calibri" w:cs="Calibri"/>
          <w:lang w:val="en-US"/>
        </w:rPr>
        <w:t xml:space="preserve">. </w:t>
      </w:r>
      <w:proofErr w:type="spellStart"/>
      <w:r w:rsidRPr="2A259567">
        <w:rPr>
          <w:rFonts w:ascii="Calibri" w:eastAsia="Calibri" w:hAnsi="Calibri" w:cs="Calibri"/>
        </w:rPr>
        <w:t>Morningstar</w:t>
      </w:r>
      <w:proofErr w:type="spellEnd"/>
      <w:r w:rsidRPr="2A259567">
        <w:rPr>
          <w:rFonts w:ascii="Calibri" w:eastAsia="Calibri" w:hAnsi="Calibri" w:cs="Calibri"/>
        </w:rPr>
        <w:t xml:space="preserve">, Inc. Geraadpleegd op 1 december 2025, van </w:t>
      </w:r>
      <w:hyperlink r:id="rId47">
        <w:r w:rsidRPr="2A259567">
          <w:rPr>
            <w:rStyle w:val="Hyperlink"/>
            <w:rFonts w:ascii="Calibri" w:eastAsia="Calibri" w:hAnsi="Calibri" w:cs="Calibri"/>
            <w:color w:val="0000FF"/>
          </w:rPr>
          <w:t>https://global.morningstar.com/nl/beleggingen/fondsen/F00000YFUP/quote?marktID=nl</w:t>
        </w:r>
      </w:hyperlink>
    </w:p>
    <w:p w14:paraId="71AD9911" w14:textId="7C3929C9" w:rsidR="2A259567" w:rsidRPr="00F65EAB" w:rsidRDefault="2A259567" w:rsidP="2A259567">
      <w:pPr>
        <w:spacing w:after="0"/>
        <w:rPr>
          <w:rFonts w:ascii="Calibri" w:eastAsia="Calibri" w:hAnsi="Calibri" w:cs="Calibri"/>
        </w:rPr>
      </w:pPr>
    </w:p>
    <w:p w14:paraId="31A79393" w14:textId="7B53EA7C" w:rsidR="32F1AED3" w:rsidRDefault="32F1AED3" w:rsidP="2A259567">
      <w:pPr>
        <w:spacing w:after="0"/>
      </w:pPr>
      <w:r w:rsidRPr="2A259567">
        <w:rPr>
          <w:rFonts w:ascii="Calibri" w:eastAsia="Calibri" w:hAnsi="Calibri" w:cs="Calibri"/>
          <w:lang w:val="en-US"/>
        </w:rPr>
        <w:t xml:space="preserve">Morningstar. (2025c). </w:t>
      </w:r>
      <w:r w:rsidRPr="2A259567">
        <w:rPr>
          <w:rFonts w:ascii="Calibri" w:eastAsia="Calibri" w:hAnsi="Calibri" w:cs="Calibri"/>
          <w:i/>
          <w:iCs/>
          <w:lang w:val="en-US"/>
        </w:rPr>
        <w:t>Allianz Climate Transition Europe IT EUR (LU1865150210)</w:t>
      </w:r>
      <w:r w:rsidRPr="2A259567">
        <w:rPr>
          <w:rFonts w:ascii="Calibri" w:eastAsia="Calibri" w:hAnsi="Calibri" w:cs="Calibri"/>
          <w:lang w:val="en-US"/>
        </w:rPr>
        <w:t xml:space="preserve">. </w:t>
      </w:r>
      <w:proofErr w:type="spellStart"/>
      <w:r w:rsidRPr="2A259567">
        <w:rPr>
          <w:rFonts w:ascii="Calibri" w:eastAsia="Calibri" w:hAnsi="Calibri" w:cs="Calibri"/>
        </w:rPr>
        <w:t>Morningstar</w:t>
      </w:r>
      <w:proofErr w:type="spellEnd"/>
      <w:r w:rsidRPr="2A259567">
        <w:rPr>
          <w:rFonts w:ascii="Calibri" w:eastAsia="Calibri" w:hAnsi="Calibri" w:cs="Calibri"/>
        </w:rPr>
        <w:t xml:space="preserve">, Inc. Geraadpleegd op 1 december 2025, van </w:t>
      </w:r>
      <w:hyperlink r:id="rId48">
        <w:r w:rsidRPr="2A259567">
          <w:rPr>
            <w:rStyle w:val="Hyperlink"/>
            <w:rFonts w:ascii="Calibri" w:eastAsia="Calibri" w:hAnsi="Calibri" w:cs="Calibri"/>
            <w:color w:val="0000FF"/>
          </w:rPr>
          <w:t>https://global.morningstar.com/nl/beleggingen/fondsen/F0000139KE/quote</w:t>
        </w:r>
      </w:hyperlink>
    </w:p>
    <w:p w14:paraId="3487CF48" w14:textId="2CF45A72" w:rsidR="2A259567" w:rsidRPr="00F65EAB" w:rsidRDefault="2A259567" w:rsidP="2A259567">
      <w:pPr>
        <w:spacing w:after="0"/>
        <w:rPr>
          <w:rFonts w:ascii="Calibri" w:eastAsia="Calibri" w:hAnsi="Calibri" w:cs="Calibri"/>
        </w:rPr>
      </w:pPr>
    </w:p>
    <w:p w14:paraId="0767DDC1" w14:textId="3CD00DE7" w:rsidR="32F1AED3" w:rsidRDefault="32F1AED3" w:rsidP="2A259567">
      <w:pPr>
        <w:spacing w:after="0"/>
      </w:pPr>
      <w:r w:rsidRPr="2A259567">
        <w:rPr>
          <w:rFonts w:ascii="Calibri" w:eastAsia="Calibri" w:hAnsi="Calibri" w:cs="Calibri"/>
          <w:lang w:val="en-US"/>
        </w:rPr>
        <w:t xml:space="preserve">Robeco. (2025, 28 </w:t>
      </w:r>
      <w:proofErr w:type="spellStart"/>
      <w:r w:rsidRPr="2A259567">
        <w:rPr>
          <w:rFonts w:ascii="Calibri" w:eastAsia="Calibri" w:hAnsi="Calibri" w:cs="Calibri"/>
          <w:lang w:val="en-US"/>
        </w:rPr>
        <w:t>augustus</w:t>
      </w:r>
      <w:proofErr w:type="spellEnd"/>
      <w:r w:rsidRPr="2A259567">
        <w:rPr>
          <w:rFonts w:ascii="Calibri" w:eastAsia="Calibri" w:hAnsi="Calibri" w:cs="Calibri"/>
          <w:lang w:val="en-US"/>
        </w:rPr>
        <w:t xml:space="preserve">). </w:t>
      </w:r>
      <w:r w:rsidRPr="2A259567">
        <w:rPr>
          <w:rFonts w:ascii="Calibri" w:eastAsia="Calibri" w:hAnsi="Calibri" w:cs="Calibri"/>
          <w:i/>
          <w:iCs/>
          <w:lang w:val="en-US"/>
        </w:rPr>
        <w:t>Green bonds</w:t>
      </w:r>
      <w:r w:rsidRPr="2A259567">
        <w:rPr>
          <w:rFonts w:ascii="Calibri" w:eastAsia="Calibri" w:hAnsi="Calibri" w:cs="Calibri"/>
          <w:lang w:val="en-US"/>
        </w:rPr>
        <w:t xml:space="preserve">. Robeco Institutional Asset Management. </w:t>
      </w:r>
      <w:r w:rsidRPr="2A259567">
        <w:rPr>
          <w:rFonts w:ascii="Calibri" w:eastAsia="Calibri" w:hAnsi="Calibri" w:cs="Calibri"/>
        </w:rPr>
        <w:t xml:space="preserve">Geraadpleegd op 1 december 2025, van </w:t>
      </w:r>
      <w:hyperlink r:id="rId49">
        <w:r w:rsidRPr="2A259567">
          <w:rPr>
            <w:rStyle w:val="Hyperlink"/>
            <w:rFonts w:ascii="Calibri" w:eastAsia="Calibri" w:hAnsi="Calibri" w:cs="Calibri"/>
            <w:color w:val="0000FF"/>
          </w:rPr>
          <w:t>https://www.robeco.com/en-int/products/strategies/green-bonds</w:t>
        </w:r>
      </w:hyperlink>
    </w:p>
    <w:p w14:paraId="12997CE3" w14:textId="2871D5F4" w:rsidR="2A259567" w:rsidRPr="00F65EAB" w:rsidRDefault="2A259567" w:rsidP="2A259567">
      <w:pPr>
        <w:spacing w:after="0"/>
        <w:rPr>
          <w:rFonts w:ascii="Calibri" w:eastAsia="Calibri" w:hAnsi="Calibri" w:cs="Calibri"/>
        </w:rPr>
      </w:pPr>
    </w:p>
    <w:p w14:paraId="5C3DC0D4" w14:textId="4A0D274A" w:rsidR="32F1AED3" w:rsidRDefault="32F1AED3" w:rsidP="2A259567">
      <w:pPr>
        <w:spacing w:after="0"/>
      </w:pPr>
      <w:r w:rsidRPr="2A259567">
        <w:rPr>
          <w:rFonts w:ascii="Calibri" w:eastAsia="Calibri" w:hAnsi="Calibri" w:cs="Calibri"/>
          <w:lang w:val="en-US"/>
        </w:rPr>
        <w:t xml:space="preserve">Robeco. (2025b). </w:t>
      </w:r>
      <w:r w:rsidRPr="2A259567">
        <w:rPr>
          <w:rFonts w:ascii="Calibri" w:eastAsia="Calibri" w:hAnsi="Calibri" w:cs="Calibri"/>
          <w:i/>
          <w:iCs/>
          <w:lang w:val="en-US"/>
        </w:rPr>
        <w:t>Factsheet Robeco Global Green Bonds DH EUR</w:t>
      </w:r>
      <w:r w:rsidRPr="2A259567">
        <w:rPr>
          <w:rFonts w:ascii="Calibri" w:eastAsia="Calibri" w:hAnsi="Calibri" w:cs="Calibri"/>
          <w:lang w:val="en-US"/>
        </w:rPr>
        <w:t xml:space="preserve">. </w:t>
      </w:r>
      <w:r w:rsidRPr="2A259567">
        <w:rPr>
          <w:rFonts w:ascii="Calibri" w:eastAsia="Calibri" w:hAnsi="Calibri" w:cs="Calibri"/>
        </w:rPr>
        <w:t xml:space="preserve">Geraadpleegd op 1 december 2025, van </w:t>
      </w:r>
      <w:hyperlink r:id="rId50">
        <w:r w:rsidRPr="2A259567">
          <w:rPr>
            <w:rStyle w:val="Hyperlink"/>
            <w:rFonts w:ascii="Calibri" w:eastAsia="Calibri" w:hAnsi="Calibri" w:cs="Calibri"/>
            <w:color w:val="0000FF"/>
          </w:rPr>
          <w:t>https://global.morningstar.com/nl/beleggingen/fondsen/F00001AMTQ/quote</w:t>
        </w:r>
      </w:hyperlink>
    </w:p>
    <w:p w14:paraId="6DAB4292" w14:textId="05ADAA39" w:rsidR="2A259567" w:rsidRDefault="2A259567" w:rsidP="2A259567">
      <w:pPr>
        <w:spacing w:after="0"/>
        <w:rPr>
          <w:rFonts w:ascii="Calibri" w:eastAsia="Calibri" w:hAnsi="Calibri" w:cs="Calibri"/>
        </w:rPr>
      </w:pPr>
    </w:p>
    <w:p w14:paraId="4B799E1C" w14:textId="0D7FAFEB" w:rsidR="32F1AED3" w:rsidRDefault="32F1AED3" w:rsidP="2A259567">
      <w:pPr>
        <w:spacing w:after="0"/>
      </w:pPr>
      <w:proofErr w:type="spellStart"/>
      <w:r w:rsidRPr="2A259567">
        <w:rPr>
          <w:rFonts w:ascii="Calibri" w:eastAsia="Calibri" w:hAnsi="Calibri" w:cs="Calibri"/>
        </w:rPr>
        <w:t>StartGreen</w:t>
      </w:r>
      <w:proofErr w:type="spellEnd"/>
      <w:r w:rsidRPr="2A259567">
        <w:rPr>
          <w:rFonts w:ascii="Calibri" w:eastAsia="Calibri" w:hAnsi="Calibri" w:cs="Calibri"/>
        </w:rPr>
        <w:t xml:space="preserve">. (2025, 21 oktober). </w:t>
      </w:r>
      <w:r w:rsidRPr="2A259567">
        <w:rPr>
          <w:rFonts w:ascii="Calibri" w:eastAsia="Calibri" w:hAnsi="Calibri" w:cs="Calibri"/>
          <w:i/>
          <w:iCs/>
        </w:rPr>
        <w:t>ASN Energie &amp; Innovatiefonds</w:t>
      </w:r>
      <w:r w:rsidRPr="2A259567">
        <w:rPr>
          <w:rFonts w:ascii="Calibri" w:eastAsia="Calibri" w:hAnsi="Calibri" w:cs="Calibri"/>
        </w:rPr>
        <w:t xml:space="preserve">. Geraadpleegd op 1 december 2025, van </w:t>
      </w:r>
      <w:hyperlink r:id="rId51">
        <w:r w:rsidRPr="2A259567">
          <w:rPr>
            <w:rStyle w:val="Hyperlink"/>
            <w:rFonts w:ascii="Calibri" w:eastAsia="Calibri" w:hAnsi="Calibri" w:cs="Calibri"/>
            <w:color w:val="0000FF"/>
          </w:rPr>
          <w:t>https://www.startgreen.nl/fondsen/asn-energieinnovatiefonds/</w:t>
        </w:r>
      </w:hyperlink>
    </w:p>
    <w:p w14:paraId="5598A326" w14:textId="1C6758B0" w:rsidR="2A259567" w:rsidRDefault="2A259567" w:rsidP="2A259567"/>
    <w:sectPr w:rsidR="2A2595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95DE" w14:textId="77777777" w:rsidR="00B3307E" w:rsidRPr="0031355F" w:rsidRDefault="00B3307E" w:rsidP="004454BA">
      <w:pPr>
        <w:spacing w:after="0" w:line="240" w:lineRule="auto"/>
      </w:pPr>
      <w:r w:rsidRPr="0031355F">
        <w:separator/>
      </w:r>
    </w:p>
  </w:endnote>
  <w:endnote w:type="continuationSeparator" w:id="0">
    <w:p w14:paraId="3B0A616E" w14:textId="77777777" w:rsidR="00B3307E" w:rsidRPr="0031355F" w:rsidRDefault="00B3307E" w:rsidP="004454BA">
      <w:pPr>
        <w:spacing w:after="0" w:line="240" w:lineRule="auto"/>
      </w:pPr>
      <w:r w:rsidRPr="003135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59D3" w14:textId="77777777" w:rsidR="00B3307E" w:rsidRPr="0031355F" w:rsidRDefault="00B3307E" w:rsidP="004454BA">
      <w:pPr>
        <w:spacing w:after="0" w:line="240" w:lineRule="auto"/>
      </w:pPr>
      <w:r w:rsidRPr="0031355F">
        <w:separator/>
      </w:r>
    </w:p>
  </w:footnote>
  <w:footnote w:type="continuationSeparator" w:id="0">
    <w:p w14:paraId="5EE27B21" w14:textId="77777777" w:rsidR="00B3307E" w:rsidRPr="0031355F" w:rsidRDefault="00B3307E" w:rsidP="004454BA">
      <w:pPr>
        <w:spacing w:after="0" w:line="240" w:lineRule="auto"/>
      </w:pPr>
      <w:r w:rsidRPr="0031355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5E3B"/>
    <w:multiLevelType w:val="hybridMultilevel"/>
    <w:tmpl w:val="7040E108"/>
    <w:lvl w:ilvl="0" w:tplc="B0206738">
      <w:start w:val="1"/>
      <w:numFmt w:val="bullet"/>
      <w:lvlText w:val="·"/>
      <w:lvlJc w:val="left"/>
      <w:pPr>
        <w:ind w:left="720" w:hanging="360"/>
      </w:pPr>
      <w:rPr>
        <w:rFonts w:ascii="Symbol" w:hAnsi="Symbol" w:hint="default"/>
      </w:rPr>
    </w:lvl>
    <w:lvl w:ilvl="1" w:tplc="3D008EA0">
      <w:start w:val="1"/>
      <w:numFmt w:val="bullet"/>
      <w:lvlText w:val="o"/>
      <w:lvlJc w:val="left"/>
      <w:pPr>
        <w:ind w:left="1440" w:hanging="360"/>
      </w:pPr>
      <w:rPr>
        <w:rFonts w:ascii="Courier New" w:hAnsi="Courier New" w:hint="default"/>
      </w:rPr>
    </w:lvl>
    <w:lvl w:ilvl="2" w:tplc="1BD899D4">
      <w:start w:val="1"/>
      <w:numFmt w:val="bullet"/>
      <w:lvlText w:val=""/>
      <w:lvlJc w:val="left"/>
      <w:pPr>
        <w:ind w:left="2160" w:hanging="360"/>
      </w:pPr>
      <w:rPr>
        <w:rFonts w:ascii="Wingdings" w:hAnsi="Wingdings" w:hint="default"/>
      </w:rPr>
    </w:lvl>
    <w:lvl w:ilvl="3" w:tplc="E3502CDE">
      <w:start w:val="1"/>
      <w:numFmt w:val="bullet"/>
      <w:lvlText w:val=""/>
      <w:lvlJc w:val="left"/>
      <w:pPr>
        <w:ind w:left="2880" w:hanging="360"/>
      </w:pPr>
      <w:rPr>
        <w:rFonts w:ascii="Symbol" w:hAnsi="Symbol" w:hint="default"/>
      </w:rPr>
    </w:lvl>
    <w:lvl w:ilvl="4" w:tplc="D0C49380">
      <w:start w:val="1"/>
      <w:numFmt w:val="bullet"/>
      <w:lvlText w:val="o"/>
      <w:lvlJc w:val="left"/>
      <w:pPr>
        <w:ind w:left="3600" w:hanging="360"/>
      </w:pPr>
      <w:rPr>
        <w:rFonts w:ascii="Courier New" w:hAnsi="Courier New" w:hint="default"/>
      </w:rPr>
    </w:lvl>
    <w:lvl w:ilvl="5" w:tplc="3C0E581C">
      <w:start w:val="1"/>
      <w:numFmt w:val="bullet"/>
      <w:lvlText w:val=""/>
      <w:lvlJc w:val="left"/>
      <w:pPr>
        <w:ind w:left="4320" w:hanging="360"/>
      </w:pPr>
      <w:rPr>
        <w:rFonts w:ascii="Wingdings" w:hAnsi="Wingdings" w:hint="default"/>
      </w:rPr>
    </w:lvl>
    <w:lvl w:ilvl="6" w:tplc="C15EEEE4">
      <w:start w:val="1"/>
      <w:numFmt w:val="bullet"/>
      <w:lvlText w:val=""/>
      <w:lvlJc w:val="left"/>
      <w:pPr>
        <w:ind w:left="5040" w:hanging="360"/>
      </w:pPr>
      <w:rPr>
        <w:rFonts w:ascii="Symbol" w:hAnsi="Symbol" w:hint="default"/>
      </w:rPr>
    </w:lvl>
    <w:lvl w:ilvl="7" w:tplc="5852D40A">
      <w:start w:val="1"/>
      <w:numFmt w:val="bullet"/>
      <w:lvlText w:val="o"/>
      <w:lvlJc w:val="left"/>
      <w:pPr>
        <w:ind w:left="5760" w:hanging="360"/>
      </w:pPr>
      <w:rPr>
        <w:rFonts w:ascii="Courier New" w:hAnsi="Courier New" w:hint="default"/>
      </w:rPr>
    </w:lvl>
    <w:lvl w:ilvl="8" w:tplc="0E900DAA">
      <w:start w:val="1"/>
      <w:numFmt w:val="bullet"/>
      <w:lvlText w:val=""/>
      <w:lvlJc w:val="left"/>
      <w:pPr>
        <w:ind w:left="6480" w:hanging="360"/>
      </w:pPr>
      <w:rPr>
        <w:rFonts w:ascii="Wingdings" w:hAnsi="Wingdings" w:hint="default"/>
      </w:rPr>
    </w:lvl>
  </w:abstractNum>
  <w:abstractNum w:abstractNumId="1" w15:restartNumberingAfterBreak="0">
    <w:nsid w:val="01891C34"/>
    <w:multiLevelType w:val="multilevel"/>
    <w:tmpl w:val="39C4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00354"/>
    <w:multiLevelType w:val="multilevel"/>
    <w:tmpl w:val="D48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E4984"/>
    <w:multiLevelType w:val="multilevel"/>
    <w:tmpl w:val="30B0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554AC"/>
    <w:multiLevelType w:val="multilevel"/>
    <w:tmpl w:val="0BF2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A6F54"/>
    <w:multiLevelType w:val="hybridMultilevel"/>
    <w:tmpl w:val="B5724588"/>
    <w:lvl w:ilvl="0" w:tplc="E610700E">
      <w:start w:val="1"/>
      <w:numFmt w:val="bullet"/>
      <w:lvlText w:val=""/>
      <w:lvlJc w:val="left"/>
      <w:pPr>
        <w:ind w:left="720" w:hanging="360"/>
      </w:pPr>
      <w:rPr>
        <w:rFonts w:ascii="Symbol" w:hAnsi="Symbol" w:hint="default"/>
      </w:rPr>
    </w:lvl>
    <w:lvl w:ilvl="1" w:tplc="28D6F19C">
      <w:start w:val="1"/>
      <w:numFmt w:val="bullet"/>
      <w:lvlText w:val="o"/>
      <w:lvlJc w:val="left"/>
      <w:pPr>
        <w:ind w:left="1440" w:hanging="360"/>
      </w:pPr>
      <w:rPr>
        <w:rFonts w:ascii="Courier New" w:hAnsi="Courier New" w:hint="default"/>
      </w:rPr>
    </w:lvl>
    <w:lvl w:ilvl="2" w:tplc="AF8E8AC8">
      <w:start w:val="1"/>
      <w:numFmt w:val="bullet"/>
      <w:lvlText w:val=""/>
      <w:lvlJc w:val="left"/>
      <w:pPr>
        <w:ind w:left="2160" w:hanging="360"/>
      </w:pPr>
      <w:rPr>
        <w:rFonts w:ascii="Wingdings" w:hAnsi="Wingdings" w:hint="default"/>
      </w:rPr>
    </w:lvl>
    <w:lvl w:ilvl="3" w:tplc="B8F63194">
      <w:start w:val="1"/>
      <w:numFmt w:val="bullet"/>
      <w:lvlText w:val=""/>
      <w:lvlJc w:val="left"/>
      <w:pPr>
        <w:ind w:left="2880" w:hanging="360"/>
      </w:pPr>
      <w:rPr>
        <w:rFonts w:ascii="Symbol" w:hAnsi="Symbol" w:hint="default"/>
      </w:rPr>
    </w:lvl>
    <w:lvl w:ilvl="4" w:tplc="70EEF756">
      <w:start w:val="1"/>
      <w:numFmt w:val="bullet"/>
      <w:lvlText w:val="o"/>
      <w:lvlJc w:val="left"/>
      <w:pPr>
        <w:ind w:left="3600" w:hanging="360"/>
      </w:pPr>
      <w:rPr>
        <w:rFonts w:ascii="Courier New" w:hAnsi="Courier New" w:hint="default"/>
      </w:rPr>
    </w:lvl>
    <w:lvl w:ilvl="5" w:tplc="2228ACDA">
      <w:start w:val="1"/>
      <w:numFmt w:val="bullet"/>
      <w:lvlText w:val=""/>
      <w:lvlJc w:val="left"/>
      <w:pPr>
        <w:ind w:left="4320" w:hanging="360"/>
      </w:pPr>
      <w:rPr>
        <w:rFonts w:ascii="Wingdings" w:hAnsi="Wingdings" w:hint="default"/>
      </w:rPr>
    </w:lvl>
    <w:lvl w:ilvl="6" w:tplc="DB829688">
      <w:start w:val="1"/>
      <w:numFmt w:val="bullet"/>
      <w:lvlText w:val=""/>
      <w:lvlJc w:val="left"/>
      <w:pPr>
        <w:ind w:left="5040" w:hanging="360"/>
      </w:pPr>
      <w:rPr>
        <w:rFonts w:ascii="Symbol" w:hAnsi="Symbol" w:hint="default"/>
      </w:rPr>
    </w:lvl>
    <w:lvl w:ilvl="7" w:tplc="7CA2CED4">
      <w:start w:val="1"/>
      <w:numFmt w:val="bullet"/>
      <w:lvlText w:val="o"/>
      <w:lvlJc w:val="left"/>
      <w:pPr>
        <w:ind w:left="5760" w:hanging="360"/>
      </w:pPr>
      <w:rPr>
        <w:rFonts w:ascii="Courier New" w:hAnsi="Courier New" w:hint="default"/>
      </w:rPr>
    </w:lvl>
    <w:lvl w:ilvl="8" w:tplc="4FE8ED52">
      <w:start w:val="1"/>
      <w:numFmt w:val="bullet"/>
      <w:lvlText w:val=""/>
      <w:lvlJc w:val="left"/>
      <w:pPr>
        <w:ind w:left="6480" w:hanging="360"/>
      </w:pPr>
      <w:rPr>
        <w:rFonts w:ascii="Wingdings" w:hAnsi="Wingdings" w:hint="default"/>
      </w:rPr>
    </w:lvl>
  </w:abstractNum>
  <w:abstractNum w:abstractNumId="6" w15:restartNumberingAfterBreak="0">
    <w:nsid w:val="06580186"/>
    <w:multiLevelType w:val="multilevel"/>
    <w:tmpl w:val="4CB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63960"/>
    <w:multiLevelType w:val="multilevel"/>
    <w:tmpl w:val="B3F4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2733A2"/>
    <w:multiLevelType w:val="multilevel"/>
    <w:tmpl w:val="2A32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6031E"/>
    <w:multiLevelType w:val="multilevel"/>
    <w:tmpl w:val="8EFE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C547C"/>
    <w:multiLevelType w:val="multilevel"/>
    <w:tmpl w:val="ADA8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E2884"/>
    <w:multiLevelType w:val="multilevel"/>
    <w:tmpl w:val="F55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830F6"/>
    <w:multiLevelType w:val="multilevel"/>
    <w:tmpl w:val="62C4808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10467"/>
    <w:multiLevelType w:val="hybridMultilevel"/>
    <w:tmpl w:val="FFFFFFFF"/>
    <w:lvl w:ilvl="0" w:tplc="C87AA56A">
      <w:start w:val="1"/>
      <w:numFmt w:val="bullet"/>
      <w:lvlText w:val=""/>
      <w:lvlJc w:val="left"/>
      <w:pPr>
        <w:ind w:left="720" w:hanging="360"/>
      </w:pPr>
      <w:rPr>
        <w:rFonts w:ascii="Symbol" w:hAnsi="Symbol" w:hint="default"/>
      </w:rPr>
    </w:lvl>
    <w:lvl w:ilvl="1" w:tplc="5BFAF214">
      <w:start w:val="1"/>
      <w:numFmt w:val="bullet"/>
      <w:lvlText w:val="o"/>
      <w:lvlJc w:val="left"/>
      <w:pPr>
        <w:ind w:left="1440" w:hanging="360"/>
      </w:pPr>
      <w:rPr>
        <w:rFonts w:ascii="Courier New" w:hAnsi="Courier New" w:hint="default"/>
      </w:rPr>
    </w:lvl>
    <w:lvl w:ilvl="2" w:tplc="AD5A0430">
      <w:start w:val="1"/>
      <w:numFmt w:val="bullet"/>
      <w:lvlText w:val=""/>
      <w:lvlJc w:val="left"/>
      <w:pPr>
        <w:ind w:left="2160" w:hanging="360"/>
      </w:pPr>
      <w:rPr>
        <w:rFonts w:ascii="Wingdings" w:hAnsi="Wingdings" w:hint="default"/>
      </w:rPr>
    </w:lvl>
    <w:lvl w:ilvl="3" w:tplc="DEA878BE">
      <w:start w:val="1"/>
      <w:numFmt w:val="bullet"/>
      <w:lvlText w:val=""/>
      <w:lvlJc w:val="left"/>
      <w:pPr>
        <w:ind w:left="2880" w:hanging="360"/>
      </w:pPr>
      <w:rPr>
        <w:rFonts w:ascii="Symbol" w:hAnsi="Symbol" w:hint="default"/>
      </w:rPr>
    </w:lvl>
    <w:lvl w:ilvl="4" w:tplc="71B25D28">
      <w:start w:val="1"/>
      <w:numFmt w:val="bullet"/>
      <w:lvlText w:val="o"/>
      <w:lvlJc w:val="left"/>
      <w:pPr>
        <w:ind w:left="3600" w:hanging="360"/>
      </w:pPr>
      <w:rPr>
        <w:rFonts w:ascii="Courier New" w:hAnsi="Courier New" w:hint="default"/>
      </w:rPr>
    </w:lvl>
    <w:lvl w:ilvl="5" w:tplc="339A284C">
      <w:start w:val="1"/>
      <w:numFmt w:val="bullet"/>
      <w:lvlText w:val=""/>
      <w:lvlJc w:val="left"/>
      <w:pPr>
        <w:ind w:left="4320" w:hanging="360"/>
      </w:pPr>
      <w:rPr>
        <w:rFonts w:ascii="Wingdings" w:hAnsi="Wingdings" w:hint="default"/>
      </w:rPr>
    </w:lvl>
    <w:lvl w:ilvl="6" w:tplc="5948BAAC">
      <w:start w:val="1"/>
      <w:numFmt w:val="bullet"/>
      <w:lvlText w:val=""/>
      <w:lvlJc w:val="left"/>
      <w:pPr>
        <w:ind w:left="5040" w:hanging="360"/>
      </w:pPr>
      <w:rPr>
        <w:rFonts w:ascii="Symbol" w:hAnsi="Symbol" w:hint="default"/>
      </w:rPr>
    </w:lvl>
    <w:lvl w:ilvl="7" w:tplc="F45C2DDA">
      <w:start w:val="1"/>
      <w:numFmt w:val="bullet"/>
      <w:lvlText w:val="o"/>
      <w:lvlJc w:val="left"/>
      <w:pPr>
        <w:ind w:left="5760" w:hanging="360"/>
      </w:pPr>
      <w:rPr>
        <w:rFonts w:ascii="Courier New" w:hAnsi="Courier New" w:hint="default"/>
      </w:rPr>
    </w:lvl>
    <w:lvl w:ilvl="8" w:tplc="70C4A838">
      <w:start w:val="1"/>
      <w:numFmt w:val="bullet"/>
      <w:lvlText w:val=""/>
      <w:lvlJc w:val="left"/>
      <w:pPr>
        <w:ind w:left="6480" w:hanging="360"/>
      </w:pPr>
      <w:rPr>
        <w:rFonts w:ascii="Wingdings" w:hAnsi="Wingdings" w:hint="default"/>
      </w:rPr>
    </w:lvl>
  </w:abstractNum>
  <w:abstractNum w:abstractNumId="14" w15:restartNumberingAfterBreak="0">
    <w:nsid w:val="224C64D4"/>
    <w:multiLevelType w:val="multilevel"/>
    <w:tmpl w:val="EE12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997896"/>
    <w:multiLevelType w:val="multilevel"/>
    <w:tmpl w:val="A3B2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054E8"/>
    <w:multiLevelType w:val="multilevel"/>
    <w:tmpl w:val="3722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447A80"/>
    <w:multiLevelType w:val="multilevel"/>
    <w:tmpl w:val="B6C4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931AE2"/>
    <w:multiLevelType w:val="hybridMultilevel"/>
    <w:tmpl w:val="0762AA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75012C7"/>
    <w:multiLevelType w:val="hybridMultilevel"/>
    <w:tmpl w:val="E208CBDA"/>
    <w:lvl w:ilvl="0" w:tplc="ECC03B42">
      <w:start w:val="1"/>
      <w:numFmt w:val="bullet"/>
      <w:lvlText w:val="·"/>
      <w:lvlJc w:val="left"/>
      <w:pPr>
        <w:ind w:left="720" w:hanging="360"/>
      </w:pPr>
      <w:rPr>
        <w:rFonts w:ascii="Symbol" w:hAnsi="Symbol" w:hint="default"/>
      </w:rPr>
    </w:lvl>
    <w:lvl w:ilvl="1" w:tplc="B48ABCCC">
      <w:start w:val="1"/>
      <w:numFmt w:val="bullet"/>
      <w:lvlText w:val="o"/>
      <w:lvlJc w:val="left"/>
      <w:pPr>
        <w:ind w:left="1440" w:hanging="360"/>
      </w:pPr>
      <w:rPr>
        <w:rFonts w:ascii="Courier New" w:hAnsi="Courier New" w:hint="default"/>
      </w:rPr>
    </w:lvl>
    <w:lvl w:ilvl="2" w:tplc="764E1F0A">
      <w:start w:val="1"/>
      <w:numFmt w:val="bullet"/>
      <w:lvlText w:val=""/>
      <w:lvlJc w:val="left"/>
      <w:pPr>
        <w:ind w:left="2160" w:hanging="360"/>
      </w:pPr>
      <w:rPr>
        <w:rFonts w:ascii="Wingdings" w:hAnsi="Wingdings" w:hint="default"/>
      </w:rPr>
    </w:lvl>
    <w:lvl w:ilvl="3" w:tplc="308CBCEE">
      <w:start w:val="1"/>
      <w:numFmt w:val="bullet"/>
      <w:lvlText w:val=""/>
      <w:lvlJc w:val="left"/>
      <w:pPr>
        <w:ind w:left="2880" w:hanging="360"/>
      </w:pPr>
      <w:rPr>
        <w:rFonts w:ascii="Symbol" w:hAnsi="Symbol" w:hint="default"/>
      </w:rPr>
    </w:lvl>
    <w:lvl w:ilvl="4" w:tplc="7736D512">
      <w:start w:val="1"/>
      <w:numFmt w:val="bullet"/>
      <w:lvlText w:val="o"/>
      <w:lvlJc w:val="left"/>
      <w:pPr>
        <w:ind w:left="3600" w:hanging="360"/>
      </w:pPr>
      <w:rPr>
        <w:rFonts w:ascii="Courier New" w:hAnsi="Courier New" w:hint="default"/>
      </w:rPr>
    </w:lvl>
    <w:lvl w:ilvl="5" w:tplc="AA4CB4CA">
      <w:start w:val="1"/>
      <w:numFmt w:val="bullet"/>
      <w:lvlText w:val=""/>
      <w:lvlJc w:val="left"/>
      <w:pPr>
        <w:ind w:left="4320" w:hanging="360"/>
      </w:pPr>
      <w:rPr>
        <w:rFonts w:ascii="Wingdings" w:hAnsi="Wingdings" w:hint="default"/>
      </w:rPr>
    </w:lvl>
    <w:lvl w:ilvl="6" w:tplc="59D6D188">
      <w:start w:val="1"/>
      <w:numFmt w:val="bullet"/>
      <w:lvlText w:val=""/>
      <w:lvlJc w:val="left"/>
      <w:pPr>
        <w:ind w:left="5040" w:hanging="360"/>
      </w:pPr>
      <w:rPr>
        <w:rFonts w:ascii="Symbol" w:hAnsi="Symbol" w:hint="default"/>
      </w:rPr>
    </w:lvl>
    <w:lvl w:ilvl="7" w:tplc="ED36DB52">
      <w:start w:val="1"/>
      <w:numFmt w:val="bullet"/>
      <w:lvlText w:val="o"/>
      <w:lvlJc w:val="left"/>
      <w:pPr>
        <w:ind w:left="5760" w:hanging="360"/>
      </w:pPr>
      <w:rPr>
        <w:rFonts w:ascii="Courier New" w:hAnsi="Courier New" w:hint="default"/>
      </w:rPr>
    </w:lvl>
    <w:lvl w:ilvl="8" w:tplc="9158789E">
      <w:start w:val="1"/>
      <w:numFmt w:val="bullet"/>
      <w:lvlText w:val=""/>
      <w:lvlJc w:val="left"/>
      <w:pPr>
        <w:ind w:left="6480" w:hanging="360"/>
      </w:pPr>
      <w:rPr>
        <w:rFonts w:ascii="Wingdings" w:hAnsi="Wingdings" w:hint="default"/>
      </w:rPr>
    </w:lvl>
  </w:abstractNum>
  <w:abstractNum w:abstractNumId="20" w15:restartNumberingAfterBreak="0">
    <w:nsid w:val="277A1DA8"/>
    <w:multiLevelType w:val="multilevel"/>
    <w:tmpl w:val="C05E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35B61F"/>
    <w:multiLevelType w:val="hybridMultilevel"/>
    <w:tmpl w:val="7F487182"/>
    <w:lvl w:ilvl="0" w:tplc="0CDE125A">
      <w:start w:val="1"/>
      <w:numFmt w:val="bullet"/>
      <w:lvlText w:val="·"/>
      <w:lvlJc w:val="left"/>
      <w:pPr>
        <w:ind w:left="720" w:hanging="360"/>
      </w:pPr>
      <w:rPr>
        <w:rFonts w:ascii="Symbol" w:hAnsi="Symbol" w:hint="default"/>
      </w:rPr>
    </w:lvl>
    <w:lvl w:ilvl="1" w:tplc="86EA2164">
      <w:start w:val="1"/>
      <w:numFmt w:val="bullet"/>
      <w:lvlText w:val="o"/>
      <w:lvlJc w:val="left"/>
      <w:pPr>
        <w:ind w:left="1440" w:hanging="360"/>
      </w:pPr>
      <w:rPr>
        <w:rFonts w:ascii="Courier New" w:hAnsi="Courier New" w:hint="default"/>
      </w:rPr>
    </w:lvl>
    <w:lvl w:ilvl="2" w:tplc="7A28D29A">
      <w:start w:val="1"/>
      <w:numFmt w:val="bullet"/>
      <w:lvlText w:val=""/>
      <w:lvlJc w:val="left"/>
      <w:pPr>
        <w:ind w:left="2160" w:hanging="360"/>
      </w:pPr>
      <w:rPr>
        <w:rFonts w:ascii="Wingdings" w:hAnsi="Wingdings" w:hint="default"/>
      </w:rPr>
    </w:lvl>
    <w:lvl w:ilvl="3" w:tplc="FE3018B0">
      <w:start w:val="1"/>
      <w:numFmt w:val="bullet"/>
      <w:lvlText w:val=""/>
      <w:lvlJc w:val="left"/>
      <w:pPr>
        <w:ind w:left="2880" w:hanging="360"/>
      </w:pPr>
      <w:rPr>
        <w:rFonts w:ascii="Symbol" w:hAnsi="Symbol" w:hint="default"/>
      </w:rPr>
    </w:lvl>
    <w:lvl w:ilvl="4" w:tplc="5DC6E34A">
      <w:start w:val="1"/>
      <w:numFmt w:val="bullet"/>
      <w:lvlText w:val="o"/>
      <w:lvlJc w:val="left"/>
      <w:pPr>
        <w:ind w:left="3600" w:hanging="360"/>
      </w:pPr>
      <w:rPr>
        <w:rFonts w:ascii="Courier New" w:hAnsi="Courier New" w:hint="default"/>
      </w:rPr>
    </w:lvl>
    <w:lvl w:ilvl="5" w:tplc="1F7C242E">
      <w:start w:val="1"/>
      <w:numFmt w:val="bullet"/>
      <w:lvlText w:val=""/>
      <w:lvlJc w:val="left"/>
      <w:pPr>
        <w:ind w:left="4320" w:hanging="360"/>
      </w:pPr>
      <w:rPr>
        <w:rFonts w:ascii="Wingdings" w:hAnsi="Wingdings" w:hint="default"/>
      </w:rPr>
    </w:lvl>
    <w:lvl w:ilvl="6" w:tplc="7C52CA36">
      <w:start w:val="1"/>
      <w:numFmt w:val="bullet"/>
      <w:lvlText w:val=""/>
      <w:lvlJc w:val="left"/>
      <w:pPr>
        <w:ind w:left="5040" w:hanging="360"/>
      </w:pPr>
      <w:rPr>
        <w:rFonts w:ascii="Symbol" w:hAnsi="Symbol" w:hint="default"/>
      </w:rPr>
    </w:lvl>
    <w:lvl w:ilvl="7" w:tplc="21BEE834">
      <w:start w:val="1"/>
      <w:numFmt w:val="bullet"/>
      <w:lvlText w:val="o"/>
      <w:lvlJc w:val="left"/>
      <w:pPr>
        <w:ind w:left="5760" w:hanging="360"/>
      </w:pPr>
      <w:rPr>
        <w:rFonts w:ascii="Courier New" w:hAnsi="Courier New" w:hint="default"/>
      </w:rPr>
    </w:lvl>
    <w:lvl w:ilvl="8" w:tplc="948895C6">
      <w:start w:val="1"/>
      <w:numFmt w:val="bullet"/>
      <w:lvlText w:val=""/>
      <w:lvlJc w:val="left"/>
      <w:pPr>
        <w:ind w:left="6480" w:hanging="360"/>
      </w:pPr>
      <w:rPr>
        <w:rFonts w:ascii="Wingdings" w:hAnsi="Wingdings" w:hint="default"/>
      </w:rPr>
    </w:lvl>
  </w:abstractNum>
  <w:abstractNum w:abstractNumId="22" w15:restartNumberingAfterBreak="0">
    <w:nsid w:val="2DAE2C62"/>
    <w:multiLevelType w:val="multilevel"/>
    <w:tmpl w:val="C44E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0A5482"/>
    <w:multiLevelType w:val="multilevel"/>
    <w:tmpl w:val="6C2A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1E1699"/>
    <w:multiLevelType w:val="multilevel"/>
    <w:tmpl w:val="3840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432ECD"/>
    <w:multiLevelType w:val="multilevel"/>
    <w:tmpl w:val="395A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C40D0C"/>
    <w:multiLevelType w:val="multilevel"/>
    <w:tmpl w:val="8524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F32269"/>
    <w:multiLevelType w:val="multilevel"/>
    <w:tmpl w:val="9FEC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675B35"/>
    <w:multiLevelType w:val="hybridMultilevel"/>
    <w:tmpl w:val="5ADAB28A"/>
    <w:lvl w:ilvl="0" w:tplc="EA124DBA">
      <w:start w:val="1"/>
      <w:numFmt w:val="decimal"/>
      <w:lvlText w:val="%1."/>
      <w:lvlJc w:val="left"/>
      <w:pPr>
        <w:ind w:left="720" w:hanging="360"/>
      </w:pPr>
    </w:lvl>
    <w:lvl w:ilvl="1" w:tplc="5650BA44">
      <w:start w:val="1"/>
      <w:numFmt w:val="lowerLetter"/>
      <w:lvlText w:val="%2."/>
      <w:lvlJc w:val="left"/>
      <w:pPr>
        <w:ind w:left="1440" w:hanging="360"/>
      </w:pPr>
    </w:lvl>
    <w:lvl w:ilvl="2" w:tplc="39585FF2">
      <w:start w:val="1"/>
      <w:numFmt w:val="lowerRoman"/>
      <w:lvlText w:val="%3."/>
      <w:lvlJc w:val="right"/>
      <w:pPr>
        <w:ind w:left="2160" w:hanging="180"/>
      </w:pPr>
    </w:lvl>
    <w:lvl w:ilvl="3" w:tplc="2C48399E">
      <w:start w:val="1"/>
      <w:numFmt w:val="decimal"/>
      <w:lvlText w:val="%4."/>
      <w:lvlJc w:val="left"/>
      <w:pPr>
        <w:ind w:left="2880" w:hanging="360"/>
      </w:pPr>
    </w:lvl>
    <w:lvl w:ilvl="4" w:tplc="CF06D8E8">
      <w:start w:val="1"/>
      <w:numFmt w:val="lowerLetter"/>
      <w:lvlText w:val="%5."/>
      <w:lvlJc w:val="left"/>
      <w:pPr>
        <w:ind w:left="3600" w:hanging="360"/>
      </w:pPr>
    </w:lvl>
    <w:lvl w:ilvl="5" w:tplc="D5C45F4C">
      <w:start w:val="1"/>
      <w:numFmt w:val="lowerRoman"/>
      <w:lvlText w:val="%6."/>
      <w:lvlJc w:val="right"/>
      <w:pPr>
        <w:ind w:left="4320" w:hanging="180"/>
      </w:pPr>
    </w:lvl>
    <w:lvl w:ilvl="6" w:tplc="723CDA5C">
      <w:start w:val="1"/>
      <w:numFmt w:val="decimal"/>
      <w:lvlText w:val="%7."/>
      <w:lvlJc w:val="left"/>
      <w:pPr>
        <w:ind w:left="5040" w:hanging="360"/>
      </w:pPr>
    </w:lvl>
    <w:lvl w:ilvl="7" w:tplc="80B07456">
      <w:start w:val="1"/>
      <w:numFmt w:val="lowerLetter"/>
      <w:lvlText w:val="%8."/>
      <w:lvlJc w:val="left"/>
      <w:pPr>
        <w:ind w:left="5760" w:hanging="360"/>
      </w:pPr>
    </w:lvl>
    <w:lvl w:ilvl="8" w:tplc="88A0CA8A">
      <w:start w:val="1"/>
      <w:numFmt w:val="lowerRoman"/>
      <w:lvlText w:val="%9."/>
      <w:lvlJc w:val="right"/>
      <w:pPr>
        <w:ind w:left="6480" w:hanging="180"/>
      </w:pPr>
    </w:lvl>
  </w:abstractNum>
  <w:abstractNum w:abstractNumId="29" w15:restartNumberingAfterBreak="0">
    <w:nsid w:val="42614DC1"/>
    <w:multiLevelType w:val="multilevel"/>
    <w:tmpl w:val="3F9A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36632"/>
    <w:multiLevelType w:val="multilevel"/>
    <w:tmpl w:val="AB50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0B4F53"/>
    <w:multiLevelType w:val="multilevel"/>
    <w:tmpl w:val="AE58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7A57CF"/>
    <w:multiLevelType w:val="multilevel"/>
    <w:tmpl w:val="C6E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DB3CB3"/>
    <w:multiLevelType w:val="multilevel"/>
    <w:tmpl w:val="D63A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874319"/>
    <w:multiLevelType w:val="multilevel"/>
    <w:tmpl w:val="D4AA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D857A8"/>
    <w:multiLevelType w:val="multilevel"/>
    <w:tmpl w:val="2DF8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2C514A"/>
    <w:multiLevelType w:val="hybridMultilevel"/>
    <w:tmpl w:val="630C5BF4"/>
    <w:lvl w:ilvl="0" w:tplc="219A5CC8">
      <w:start w:val="1"/>
      <w:numFmt w:val="bullet"/>
      <w:lvlText w:val="·"/>
      <w:lvlJc w:val="left"/>
      <w:pPr>
        <w:ind w:left="720" w:hanging="360"/>
      </w:pPr>
      <w:rPr>
        <w:rFonts w:ascii="Symbol" w:hAnsi="Symbol" w:hint="default"/>
      </w:rPr>
    </w:lvl>
    <w:lvl w:ilvl="1" w:tplc="012078E4">
      <w:start w:val="1"/>
      <w:numFmt w:val="bullet"/>
      <w:lvlText w:val="o"/>
      <w:lvlJc w:val="left"/>
      <w:pPr>
        <w:ind w:left="1440" w:hanging="360"/>
      </w:pPr>
      <w:rPr>
        <w:rFonts w:ascii="Courier New" w:hAnsi="Courier New" w:hint="default"/>
      </w:rPr>
    </w:lvl>
    <w:lvl w:ilvl="2" w:tplc="2D4C1EF0">
      <w:start w:val="1"/>
      <w:numFmt w:val="bullet"/>
      <w:lvlText w:val=""/>
      <w:lvlJc w:val="left"/>
      <w:pPr>
        <w:ind w:left="2160" w:hanging="360"/>
      </w:pPr>
      <w:rPr>
        <w:rFonts w:ascii="Wingdings" w:hAnsi="Wingdings" w:hint="default"/>
      </w:rPr>
    </w:lvl>
    <w:lvl w:ilvl="3" w:tplc="3520986E">
      <w:start w:val="1"/>
      <w:numFmt w:val="bullet"/>
      <w:lvlText w:val=""/>
      <w:lvlJc w:val="left"/>
      <w:pPr>
        <w:ind w:left="2880" w:hanging="360"/>
      </w:pPr>
      <w:rPr>
        <w:rFonts w:ascii="Symbol" w:hAnsi="Symbol" w:hint="default"/>
      </w:rPr>
    </w:lvl>
    <w:lvl w:ilvl="4" w:tplc="1BDE5900">
      <w:start w:val="1"/>
      <w:numFmt w:val="bullet"/>
      <w:lvlText w:val="o"/>
      <w:lvlJc w:val="left"/>
      <w:pPr>
        <w:ind w:left="3600" w:hanging="360"/>
      </w:pPr>
      <w:rPr>
        <w:rFonts w:ascii="Courier New" w:hAnsi="Courier New" w:hint="default"/>
      </w:rPr>
    </w:lvl>
    <w:lvl w:ilvl="5" w:tplc="DB9ED4FA">
      <w:start w:val="1"/>
      <w:numFmt w:val="bullet"/>
      <w:lvlText w:val=""/>
      <w:lvlJc w:val="left"/>
      <w:pPr>
        <w:ind w:left="4320" w:hanging="360"/>
      </w:pPr>
      <w:rPr>
        <w:rFonts w:ascii="Wingdings" w:hAnsi="Wingdings" w:hint="default"/>
      </w:rPr>
    </w:lvl>
    <w:lvl w:ilvl="6" w:tplc="00B2E47A">
      <w:start w:val="1"/>
      <w:numFmt w:val="bullet"/>
      <w:lvlText w:val=""/>
      <w:lvlJc w:val="left"/>
      <w:pPr>
        <w:ind w:left="5040" w:hanging="360"/>
      </w:pPr>
      <w:rPr>
        <w:rFonts w:ascii="Symbol" w:hAnsi="Symbol" w:hint="default"/>
      </w:rPr>
    </w:lvl>
    <w:lvl w:ilvl="7" w:tplc="9A3C7C8A">
      <w:start w:val="1"/>
      <w:numFmt w:val="bullet"/>
      <w:lvlText w:val="o"/>
      <w:lvlJc w:val="left"/>
      <w:pPr>
        <w:ind w:left="5760" w:hanging="360"/>
      </w:pPr>
      <w:rPr>
        <w:rFonts w:ascii="Courier New" w:hAnsi="Courier New" w:hint="default"/>
      </w:rPr>
    </w:lvl>
    <w:lvl w:ilvl="8" w:tplc="1FE63D90">
      <w:start w:val="1"/>
      <w:numFmt w:val="bullet"/>
      <w:lvlText w:val=""/>
      <w:lvlJc w:val="left"/>
      <w:pPr>
        <w:ind w:left="6480" w:hanging="360"/>
      </w:pPr>
      <w:rPr>
        <w:rFonts w:ascii="Wingdings" w:hAnsi="Wingdings" w:hint="default"/>
      </w:rPr>
    </w:lvl>
  </w:abstractNum>
  <w:abstractNum w:abstractNumId="37" w15:restartNumberingAfterBreak="0">
    <w:nsid w:val="4ADF13AF"/>
    <w:multiLevelType w:val="multilevel"/>
    <w:tmpl w:val="CD106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05272B"/>
    <w:multiLevelType w:val="multilevel"/>
    <w:tmpl w:val="A55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621A12"/>
    <w:multiLevelType w:val="multilevel"/>
    <w:tmpl w:val="9156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2E00AF"/>
    <w:multiLevelType w:val="multilevel"/>
    <w:tmpl w:val="CD56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7008ED"/>
    <w:multiLevelType w:val="hybridMultilevel"/>
    <w:tmpl w:val="53C4E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DE13990"/>
    <w:multiLevelType w:val="multilevel"/>
    <w:tmpl w:val="EE48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BF693E"/>
    <w:multiLevelType w:val="multilevel"/>
    <w:tmpl w:val="7C1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C025A3"/>
    <w:multiLevelType w:val="hybridMultilevel"/>
    <w:tmpl w:val="21C83D4A"/>
    <w:lvl w:ilvl="0" w:tplc="8EC801DC">
      <w:start w:val="1"/>
      <w:numFmt w:val="bullet"/>
      <w:lvlText w:val=""/>
      <w:lvlJc w:val="left"/>
      <w:pPr>
        <w:ind w:left="720" w:hanging="360"/>
      </w:pPr>
      <w:rPr>
        <w:rFonts w:ascii="Symbol" w:hAnsi="Symbol" w:hint="default"/>
      </w:rPr>
    </w:lvl>
    <w:lvl w:ilvl="1" w:tplc="D24C6060">
      <w:start w:val="1"/>
      <w:numFmt w:val="bullet"/>
      <w:lvlText w:val="o"/>
      <w:lvlJc w:val="left"/>
      <w:pPr>
        <w:ind w:left="1440" w:hanging="360"/>
      </w:pPr>
      <w:rPr>
        <w:rFonts w:ascii="Courier New" w:hAnsi="Courier New" w:hint="default"/>
      </w:rPr>
    </w:lvl>
    <w:lvl w:ilvl="2" w:tplc="DCF2B898">
      <w:start w:val="1"/>
      <w:numFmt w:val="bullet"/>
      <w:lvlText w:val=""/>
      <w:lvlJc w:val="left"/>
      <w:pPr>
        <w:ind w:left="2160" w:hanging="360"/>
      </w:pPr>
      <w:rPr>
        <w:rFonts w:ascii="Wingdings" w:hAnsi="Wingdings" w:hint="default"/>
      </w:rPr>
    </w:lvl>
    <w:lvl w:ilvl="3" w:tplc="3898AA6C">
      <w:start w:val="1"/>
      <w:numFmt w:val="bullet"/>
      <w:lvlText w:val=""/>
      <w:lvlJc w:val="left"/>
      <w:pPr>
        <w:ind w:left="2880" w:hanging="360"/>
      </w:pPr>
      <w:rPr>
        <w:rFonts w:ascii="Symbol" w:hAnsi="Symbol" w:hint="default"/>
      </w:rPr>
    </w:lvl>
    <w:lvl w:ilvl="4" w:tplc="988E22EC">
      <w:start w:val="1"/>
      <w:numFmt w:val="bullet"/>
      <w:lvlText w:val="o"/>
      <w:lvlJc w:val="left"/>
      <w:pPr>
        <w:ind w:left="3600" w:hanging="360"/>
      </w:pPr>
      <w:rPr>
        <w:rFonts w:ascii="Courier New" w:hAnsi="Courier New" w:hint="default"/>
      </w:rPr>
    </w:lvl>
    <w:lvl w:ilvl="5" w:tplc="29C84F0A">
      <w:start w:val="1"/>
      <w:numFmt w:val="bullet"/>
      <w:lvlText w:val=""/>
      <w:lvlJc w:val="left"/>
      <w:pPr>
        <w:ind w:left="4320" w:hanging="360"/>
      </w:pPr>
      <w:rPr>
        <w:rFonts w:ascii="Wingdings" w:hAnsi="Wingdings" w:hint="default"/>
      </w:rPr>
    </w:lvl>
    <w:lvl w:ilvl="6" w:tplc="C61C927A">
      <w:start w:val="1"/>
      <w:numFmt w:val="bullet"/>
      <w:lvlText w:val=""/>
      <w:lvlJc w:val="left"/>
      <w:pPr>
        <w:ind w:left="5040" w:hanging="360"/>
      </w:pPr>
      <w:rPr>
        <w:rFonts w:ascii="Symbol" w:hAnsi="Symbol" w:hint="default"/>
      </w:rPr>
    </w:lvl>
    <w:lvl w:ilvl="7" w:tplc="F4C6FB70">
      <w:start w:val="1"/>
      <w:numFmt w:val="bullet"/>
      <w:lvlText w:val="o"/>
      <w:lvlJc w:val="left"/>
      <w:pPr>
        <w:ind w:left="5760" w:hanging="360"/>
      </w:pPr>
      <w:rPr>
        <w:rFonts w:ascii="Courier New" w:hAnsi="Courier New" w:hint="default"/>
      </w:rPr>
    </w:lvl>
    <w:lvl w:ilvl="8" w:tplc="8572E9E8">
      <w:start w:val="1"/>
      <w:numFmt w:val="bullet"/>
      <w:lvlText w:val=""/>
      <w:lvlJc w:val="left"/>
      <w:pPr>
        <w:ind w:left="6480" w:hanging="360"/>
      </w:pPr>
      <w:rPr>
        <w:rFonts w:ascii="Wingdings" w:hAnsi="Wingdings" w:hint="default"/>
      </w:rPr>
    </w:lvl>
  </w:abstractNum>
  <w:abstractNum w:abstractNumId="45" w15:restartNumberingAfterBreak="0">
    <w:nsid w:val="644B52E3"/>
    <w:multiLevelType w:val="multilevel"/>
    <w:tmpl w:val="09FA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956E6A"/>
    <w:multiLevelType w:val="multilevel"/>
    <w:tmpl w:val="71FC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C9F98C"/>
    <w:multiLevelType w:val="hybridMultilevel"/>
    <w:tmpl w:val="FFFFFFFF"/>
    <w:lvl w:ilvl="0" w:tplc="65C00EA0">
      <w:start w:val="1"/>
      <w:numFmt w:val="bullet"/>
      <w:lvlText w:val=""/>
      <w:lvlJc w:val="left"/>
      <w:pPr>
        <w:ind w:left="720" w:hanging="360"/>
      </w:pPr>
      <w:rPr>
        <w:rFonts w:ascii="Symbol" w:hAnsi="Symbol" w:hint="default"/>
      </w:rPr>
    </w:lvl>
    <w:lvl w:ilvl="1" w:tplc="65C80B9C">
      <w:start w:val="1"/>
      <w:numFmt w:val="bullet"/>
      <w:lvlText w:val="o"/>
      <w:lvlJc w:val="left"/>
      <w:pPr>
        <w:ind w:left="1440" w:hanging="360"/>
      </w:pPr>
      <w:rPr>
        <w:rFonts w:ascii="Courier New" w:hAnsi="Courier New" w:hint="default"/>
      </w:rPr>
    </w:lvl>
    <w:lvl w:ilvl="2" w:tplc="B8C60BA4">
      <w:start w:val="1"/>
      <w:numFmt w:val="bullet"/>
      <w:lvlText w:val=""/>
      <w:lvlJc w:val="left"/>
      <w:pPr>
        <w:ind w:left="2160" w:hanging="360"/>
      </w:pPr>
      <w:rPr>
        <w:rFonts w:ascii="Wingdings" w:hAnsi="Wingdings" w:hint="default"/>
      </w:rPr>
    </w:lvl>
    <w:lvl w:ilvl="3" w:tplc="D77A0F04">
      <w:start w:val="1"/>
      <w:numFmt w:val="bullet"/>
      <w:lvlText w:val=""/>
      <w:lvlJc w:val="left"/>
      <w:pPr>
        <w:ind w:left="2880" w:hanging="360"/>
      </w:pPr>
      <w:rPr>
        <w:rFonts w:ascii="Symbol" w:hAnsi="Symbol" w:hint="default"/>
      </w:rPr>
    </w:lvl>
    <w:lvl w:ilvl="4" w:tplc="6D500362">
      <w:start w:val="1"/>
      <w:numFmt w:val="bullet"/>
      <w:lvlText w:val="o"/>
      <w:lvlJc w:val="left"/>
      <w:pPr>
        <w:ind w:left="3600" w:hanging="360"/>
      </w:pPr>
      <w:rPr>
        <w:rFonts w:ascii="Courier New" w:hAnsi="Courier New" w:hint="default"/>
      </w:rPr>
    </w:lvl>
    <w:lvl w:ilvl="5" w:tplc="0FC0A66C">
      <w:start w:val="1"/>
      <w:numFmt w:val="bullet"/>
      <w:lvlText w:val=""/>
      <w:lvlJc w:val="left"/>
      <w:pPr>
        <w:ind w:left="4320" w:hanging="360"/>
      </w:pPr>
      <w:rPr>
        <w:rFonts w:ascii="Wingdings" w:hAnsi="Wingdings" w:hint="default"/>
      </w:rPr>
    </w:lvl>
    <w:lvl w:ilvl="6" w:tplc="1DACCCFE">
      <w:start w:val="1"/>
      <w:numFmt w:val="bullet"/>
      <w:lvlText w:val=""/>
      <w:lvlJc w:val="left"/>
      <w:pPr>
        <w:ind w:left="5040" w:hanging="360"/>
      </w:pPr>
      <w:rPr>
        <w:rFonts w:ascii="Symbol" w:hAnsi="Symbol" w:hint="default"/>
      </w:rPr>
    </w:lvl>
    <w:lvl w:ilvl="7" w:tplc="D56C33DA">
      <w:start w:val="1"/>
      <w:numFmt w:val="bullet"/>
      <w:lvlText w:val="o"/>
      <w:lvlJc w:val="left"/>
      <w:pPr>
        <w:ind w:left="5760" w:hanging="360"/>
      </w:pPr>
      <w:rPr>
        <w:rFonts w:ascii="Courier New" w:hAnsi="Courier New" w:hint="default"/>
      </w:rPr>
    </w:lvl>
    <w:lvl w:ilvl="8" w:tplc="A3266E6C">
      <w:start w:val="1"/>
      <w:numFmt w:val="bullet"/>
      <w:lvlText w:val=""/>
      <w:lvlJc w:val="left"/>
      <w:pPr>
        <w:ind w:left="6480" w:hanging="360"/>
      </w:pPr>
      <w:rPr>
        <w:rFonts w:ascii="Wingdings" w:hAnsi="Wingdings" w:hint="default"/>
      </w:rPr>
    </w:lvl>
  </w:abstractNum>
  <w:abstractNum w:abstractNumId="48" w15:restartNumberingAfterBreak="0">
    <w:nsid w:val="677B273C"/>
    <w:multiLevelType w:val="multilevel"/>
    <w:tmpl w:val="B9E8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8C6439"/>
    <w:multiLevelType w:val="hybridMultilevel"/>
    <w:tmpl w:val="45A8D42E"/>
    <w:lvl w:ilvl="0" w:tplc="8AF65F2A">
      <w:start w:val="1"/>
      <w:numFmt w:val="decimal"/>
      <w:lvlText w:val="%1."/>
      <w:lvlJc w:val="left"/>
      <w:pPr>
        <w:ind w:left="720" w:hanging="360"/>
      </w:pPr>
    </w:lvl>
    <w:lvl w:ilvl="1" w:tplc="587E3C9E">
      <w:start w:val="1"/>
      <w:numFmt w:val="decimal"/>
      <w:lvlText w:val="%2.5"/>
      <w:lvlJc w:val="left"/>
      <w:pPr>
        <w:ind w:left="1440" w:hanging="360"/>
      </w:pPr>
    </w:lvl>
    <w:lvl w:ilvl="2" w:tplc="D4EAAAB0">
      <w:start w:val="1"/>
      <w:numFmt w:val="lowerRoman"/>
      <w:lvlText w:val="%3."/>
      <w:lvlJc w:val="right"/>
      <w:pPr>
        <w:ind w:left="2160" w:hanging="180"/>
      </w:pPr>
    </w:lvl>
    <w:lvl w:ilvl="3" w:tplc="CEA6422A">
      <w:start w:val="1"/>
      <w:numFmt w:val="decimal"/>
      <w:lvlText w:val="%4."/>
      <w:lvlJc w:val="left"/>
      <w:pPr>
        <w:ind w:left="2880" w:hanging="360"/>
      </w:pPr>
    </w:lvl>
    <w:lvl w:ilvl="4" w:tplc="DB140DF0">
      <w:start w:val="1"/>
      <w:numFmt w:val="lowerLetter"/>
      <w:lvlText w:val="%5."/>
      <w:lvlJc w:val="left"/>
      <w:pPr>
        <w:ind w:left="3600" w:hanging="360"/>
      </w:pPr>
    </w:lvl>
    <w:lvl w:ilvl="5" w:tplc="07E8B7EE">
      <w:start w:val="1"/>
      <w:numFmt w:val="lowerRoman"/>
      <w:lvlText w:val="%6."/>
      <w:lvlJc w:val="right"/>
      <w:pPr>
        <w:ind w:left="4320" w:hanging="180"/>
      </w:pPr>
    </w:lvl>
    <w:lvl w:ilvl="6" w:tplc="D00033B6">
      <w:start w:val="1"/>
      <w:numFmt w:val="decimal"/>
      <w:lvlText w:val="%7."/>
      <w:lvlJc w:val="left"/>
      <w:pPr>
        <w:ind w:left="5040" w:hanging="360"/>
      </w:pPr>
    </w:lvl>
    <w:lvl w:ilvl="7" w:tplc="3612DD4A">
      <w:start w:val="1"/>
      <w:numFmt w:val="lowerLetter"/>
      <w:lvlText w:val="%8."/>
      <w:lvlJc w:val="left"/>
      <w:pPr>
        <w:ind w:left="5760" w:hanging="360"/>
      </w:pPr>
    </w:lvl>
    <w:lvl w:ilvl="8" w:tplc="1556FC3A">
      <w:start w:val="1"/>
      <w:numFmt w:val="lowerRoman"/>
      <w:lvlText w:val="%9."/>
      <w:lvlJc w:val="right"/>
      <w:pPr>
        <w:ind w:left="6480" w:hanging="180"/>
      </w:pPr>
    </w:lvl>
  </w:abstractNum>
  <w:abstractNum w:abstractNumId="50" w15:restartNumberingAfterBreak="0">
    <w:nsid w:val="68D508A4"/>
    <w:multiLevelType w:val="multilevel"/>
    <w:tmpl w:val="5284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7D3A9D"/>
    <w:multiLevelType w:val="multilevel"/>
    <w:tmpl w:val="AC40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021379"/>
    <w:multiLevelType w:val="multilevel"/>
    <w:tmpl w:val="7FF0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021CEF"/>
    <w:multiLevelType w:val="multilevel"/>
    <w:tmpl w:val="5C94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AE4946"/>
    <w:multiLevelType w:val="multilevel"/>
    <w:tmpl w:val="62C4808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923ED1"/>
    <w:multiLevelType w:val="multilevel"/>
    <w:tmpl w:val="2B56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FD261A"/>
    <w:multiLevelType w:val="multilevel"/>
    <w:tmpl w:val="CC3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466F32"/>
    <w:multiLevelType w:val="multilevel"/>
    <w:tmpl w:val="389A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AC5804"/>
    <w:multiLevelType w:val="multilevel"/>
    <w:tmpl w:val="A9AE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6144A5"/>
    <w:multiLevelType w:val="multilevel"/>
    <w:tmpl w:val="6068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40361D"/>
    <w:multiLevelType w:val="multilevel"/>
    <w:tmpl w:val="6ACE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8B4835"/>
    <w:multiLevelType w:val="multilevel"/>
    <w:tmpl w:val="BCB4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5D66D5"/>
    <w:multiLevelType w:val="multilevel"/>
    <w:tmpl w:val="9376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7D3858"/>
    <w:multiLevelType w:val="multilevel"/>
    <w:tmpl w:val="9432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BF29BF"/>
    <w:multiLevelType w:val="multilevel"/>
    <w:tmpl w:val="66C8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A56998"/>
    <w:multiLevelType w:val="multilevel"/>
    <w:tmpl w:val="68CC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362179"/>
    <w:multiLevelType w:val="multilevel"/>
    <w:tmpl w:val="88AE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2637994">
    <w:abstractNumId w:val="47"/>
  </w:num>
  <w:num w:numId="2" w16cid:durableId="329216580">
    <w:abstractNumId w:val="13"/>
  </w:num>
  <w:num w:numId="3" w16cid:durableId="1766724511">
    <w:abstractNumId w:val="44"/>
  </w:num>
  <w:num w:numId="4" w16cid:durableId="32971619">
    <w:abstractNumId w:val="5"/>
  </w:num>
  <w:num w:numId="5" w16cid:durableId="1211763179">
    <w:abstractNumId w:val="21"/>
  </w:num>
  <w:num w:numId="6" w16cid:durableId="358091842">
    <w:abstractNumId w:val="36"/>
  </w:num>
  <w:num w:numId="7" w16cid:durableId="174657421">
    <w:abstractNumId w:val="19"/>
  </w:num>
  <w:num w:numId="8" w16cid:durableId="1839224661">
    <w:abstractNumId w:val="0"/>
  </w:num>
  <w:num w:numId="9" w16cid:durableId="2101638897">
    <w:abstractNumId w:val="28"/>
  </w:num>
  <w:num w:numId="10" w16cid:durableId="320354312">
    <w:abstractNumId w:val="49"/>
  </w:num>
  <w:num w:numId="11" w16cid:durableId="208424503">
    <w:abstractNumId w:val="32"/>
  </w:num>
  <w:num w:numId="12" w16cid:durableId="700322972">
    <w:abstractNumId w:val="34"/>
  </w:num>
  <w:num w:numId="13" w16cid:durableId="100490302">
    <w:abstractNumId w:val="35"/>
  </w:num>
  <w:num w:numId="14" w16cid:durableId="134495354">
    <w:abstractNumId w:val="63"/>
  </w:num>
  <w:num w:numId="15" w16cid:durableId="1811089993">
    <w:abstractNumId w:val="17"/>
  </w:num>
  <w:num w:numId="16" w16cid:durableId="1270969710">
    <w:abstractNumId w:val="41"/>
  </w:num>
  <w:num w:numId="17" w16cid:durableId="1747218849">
    <w:abstractNumId w:val="43"/>
  </w:num>
  <w:num w:numId="18" w16cid:durableId="331297973">
    <w:abstractNumId w:val="3"/>
  </w:num>
  <w:num w:numId="19" w16cid:durableId="815803460">
    <w:abstractNumId w:val="23"/>
  </w:num>
  <w:num w:numId="20" w16cid:durableId="246035441">
    <w:abstractNumId w:val="59"/>
  </w:num>
  <w:num w:numId="21" w16cid:durableId="1254048904">
    <w:abstractNumId w:val="48"/>
  </w:num>
  <w:num w:numId="22" w16cid:durableId="700858683">
    <w:abstractNumId w:val="1"/>
  </w:num>
  <w:num w:numId="23" w16cid:durableId="1277635773">
    <w:abstractNumId w:val="31"/>
  </w:num>
  <w:num w:numId="24" w16cid:durableId="2024092469">
    <w:abstractNumId w:val="11"/>
  </w:num>
  <w:num w:numId="25" w16cid:durableId="1797021199">
    <w:abstractNumId w:val="56"/>
  </w:num>
  <w:num w:numId="26" w16cid:durableId="2517907">
    <w:abstractNumId w:val="30"/>
  </w:num>
  <w:num w:numId="27" w16cid:durableId="127938600">
    <w:abstractNumId w:val="6"/>
  </w:num>
  <w:num w:numId="28" w16cid:durableId="1438406163">
    <w:abstractNumId w:val="26"/>
  </w:num>
  <w:num w:numId="29" w16cid:durableId="931275974">
    <w:abstractNumId w:val="50"/>
  </w:num>
  <w:num w:numId="30" w16cid:durableId="1147286354">
    <w:abstractNumId w:val="60"/>
  </w:num>
  <w:num w:numId="31" w16cid:durableId="36900814">
    <w:abstractNumId w:val="2"/>
  </w:num>
  <w:num w:numId="32" w16cid:durableId="627971037">
    <w:abstractNumId w:val="62"/>
  </w:num>
  <w:num w:numId="33" w16cid:durableId="1478186688">
    <w:abstractNumId w:val="55"/>
  </w:num>
  <w:num w:numId="34" w16cid:durableId="989747198">
    <w:abstractNumId w:val="38"/>
  </w:num>
  <w:num w:numId="35" w16cid:durableId="172764950">
    <w:abstractNumId w:val="58"/>
  </w:num>
  <w:num w:numId="36" w16cid:durableId="487327447">
    <w:abstractNumId w:val="16"/>
  </w:num>
  <w:num w:numId="37" w16cid:durableId="534736578">
    <w:abstractNumId w:val="8"/>
  </w:num>
  <w:num w:numId="38" w16cid:durableId="918950362">
    <w:abstractNumId w:val="52"/>
  </w:num>
  <w:num w:numId="39" w16cid:durableId="542597638">
    <w:abstractNumId w:val="65"/>
  </w:num>
  <w:num w:numId="40" w16cid:durableId="980228079">
    <w:abstractNumId w:val="39"/>
  </w:num>
  <w:num w:numId="41" w16cid:durableId="1691950114">
    <w:abstractNumId w:val="53"/>
  </w:num>
  <w:num w:numId="42" w16cid:durableId="145704476">
    <w:abstractNumId w:val="22"/>
  </w:num>
  <w:num w:numId="43" w16cid:durableId="1864783910">
    <w:abstractNumId w:val="57"/>
  </w:num>
  <w:num w:numId="44" w16cid:durableId="883442578">
    <w:abstractNumId w:val="51"/>
  </w:num>
  <w:num w:numId="45" w16cid:durableId="1298225579">
    <w:abstractNumId w:val="7"/>
  </w:num>
  <w:num w:numId="46" w16cid:durableId="483468297">
    <w:abstractNumId w:val="37"/>
  </w:num>
  <w:num w:numId="47" w16cid:durableId="884563486">
    <w:abstractNumId w:val="25"/>
  </w:num>
  <w:num w:numId="48" w16cid:durableId="204680321">
    <w:abstractNumId w:val="45"/>
  </w:num>
  <w:num w:numId="49" w16cid:durableId="736781207">
    <w:abstractNumId w:val="9"/>
  </w:num>
  <w:num w:numId="50" w16cid:durableId="464391708">
    <w:abstractNumId w:val="46"/>
  </w:num>
  <w:num w:numId="51" w16cid:durableId="905720258">
    <w:abstractNumId w:val="61"/>
  </w:num>
  <w:num w:numId="52" w16cid:durableId="403335726">
    <w:abstractNumId w:val="27"/>
  </w:num>
  <w:num w:numId="53" w16cid:durableId="287204735">
    <w:abstractNumId w:val="33"/>
  </w:num>
  <w:num w:numId="54" w16cid:durableId="364447744">
    <w:abstractNumId w:val="66"/>
  </w:num>
  <w:num w:numId="55" w16cid:durableId="1057170187">
    <w:abstractNumId w:val="20"/>
  </w:num>
  <w:num w:numId="56" w16cid:durableId="2129932989">
    <w:abstractNumId w:val="12"/>
  </w:num>
  <w:num w:numId="57" w16cid:durableId="829909955">
    <w:abstractNumId w:val="54"/>
  </w:num>
  <w:num w:numId="58" w16cid:durableId="1587566595">
    <w:abstractNumId w:val="18"/>
  </w:num>
  <w:num w:numId="59" w16cid:durableId="1753429225">
    <w:abstractNumId w:val="42"/>
  </w:num>
  <w:num w:numId="60" w16cid:durableId="1664046636">
    <w:abstractNumId w:val="64"/>
  </w:num>
  <w:num w:numId="61" w16cid:durableId="590046418">
    <w:abstractNumId w:val="15"/>
  </w:num>
  <w:num w:numId="62" w16cid:durableId="212280612">
    <w:abstractNumId w:val="10"/>
  </w:num>
  <w:num w:numId="63" w16cid:durableId="1105464527">
    <w:abstractNumId w:val="4"/>
  </w:num>
  <w:num w:numId="64" w16cid:durableId="684601422">
    <w:abstractNumId w:val="14"/>
  </w:num>
  <w:num w:numId="65" w16cid:durableId="1468932649">
    <w:abstractNumId w:val="40"/>
  </w:num>
  <w:num w:numId="66" w16cid:durableId="108010545">
    <w:abstractNumId w:val="29"/>
  </w:num>
  <w:num w:numId="67" w16cid:durableId="29379570">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DF"/>
    <w:rsid w:val="00191A72"/>
    <w:rsid w:val="001F1A34"/>
    <w:rsid w:val="0031355F"/>
    <w:rsid w:val="0039758E"/>
    <w:rsid w:val="004338FA"/>
    <w:rsid w:val="004454BA"/>
    <w:rsid w:val="00455512"/>
    <w:rsid w:val="0066577B"/>
    <w:rsid w:val="00693593"/>
    <w:rsid w:val="006C0CEB"/>
    <w:rsid w:val="006D58DA"/>
    <w:rsid w:val="007E47B1"/>
    <w:rsid w:val="00835334"/>
    <w:rsid w:val="008370C6"/>
    <w:rsid w:val="00842D0E"/>
    <w:rsid w:val="008E205D"/>
    <w:rsid w:val="009300E0"/>
    <w:rsid w:val="00986980"/>
    <w:rsid w:val="00A538F3"/>
    <w:rsid w:val="00B3307E"/>
    <w:rsid w:val="00B5057B"/>
    <w:rsid w:val="00B939D8"/>
    <w:rsid w:val="00BF3FBE"/>
    <w:rsid w:val="00D26EB8"/>
    <w:rsid w:val="00DA1CDF"/>
    <w:rsid w:val="00E1671C"/>
    <w:rsid w:val="00E42BF6"/>
    <w:rsid w:val="00E64D9E"/>
    <w:rsid w:val="00ED75BF"/>
    <w:rsid w:val="00EE37EA"/>
    <w:rsid w:val="00F00533"/>
    <w:rsid w:val="00F65EAB"/>
    <w:rsid w:val="14292835"/>
    <w:rsid w:val="21D74ABE"/>
    <w:rsid w:val="242E86D5"/>
    <w:rsid w:val="24DCF000"/>
    <w:rsid w:val="25FF5BD9"/>
    <w:rsid w:val="2A259567"/>
    <w:rsid w:val="2E391325"/>
    <w:rsid w:val="32F1AED3"/>
    <w:rsid w:val="35223764"/>
    <w:rsid w:val="3CEC2762"/>
    <w:rsid w:val="4E3A730E"/>
    <w:rsid w:val="4EC3C9F6"/>
    <w:rsid w:val="4ECF2E88"/>
    <w:rsid w:val="5D805B9B"/>
    <w:rsid w:val="6BF82FE4"/>
    <w:rsid w:val="6D5ED2DD"/>
    <w:rsid w:val="6F78D690"/>
    <w:rsid w:val="7CE39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05B5"/>
  <w15:chartTrackingRefBased/>
  <w15:docId w15:val="{05F9CAF0-61F3-4BDD-AD29-CCFBAA4A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DA1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1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1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CDF"/>
    <w:rPr>
      <w:rFonts w:eastAsiaTheme="majorEastAsia" w:cstheme="majorBidi"/>
      <w:color w:val="272727" w:themeColor="text1" w:themeTint="D8"/>
    </w:rPr>
  </w:style>
  <w:style w:type="paragraph" w:styleId="Title">
    <w:name w:val="Title"/>
    <w:basedOn w:val="Normal"/>
    <w:next w:val="Normal"/>
    <w:link w:val="TitleChar"/>
    <w:uiPriority w:val="10"/>
    <w:qFormat/>
    <w:rsid w:val="00DA1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CDF"/>
    <w:pPr>
      <w:spacing w:before="160"/>
      <w:jc w:val="center"/>
    </w:pPr>
    <w:rPr>
      <w:i/>
      <w:iCs/>
      <w:color w:val="404040" w:themeColor="text1" w:themeTint="BF"/>
    </w:rPr>
  </w:style>
  <w:style w:type="character" w:customStyle="1" w:styleId="QuoteChar">
    <w:name w:val="Quote Char"/>
    <w:basedOn w:val="DefaultParagraphFont"/>
    <w:link w:val="Quote"/>
    <w:uiPriority w:val="29"/>
    <w:rsid w:val="00DA1CDF"/>
    <w:rPr>
      <w:i/>
      <w:iCs/>
      <w:color w:val="404040" w:themeColor="text1" w:themeTint="BF"/>
    </w:rPr>
  </w:style>
  <w:style w:type="paragraph" w:styleId="ListParagraph">
    <w:name w:val="List Paragraph"/>
    <w:basedOn w:val="Normal"/>
    <w:uiPriority w:val="34"/>
    <w:qFormat/>
    <w:rsid w:val="00DA1CDF"/>
    <w:pPr>
      <w:ind w:left="720"/>
      <w:contextualSpacing/>
    </w:pPr>
  </w:style>
  <w:style w:type="character" w:styleId="IntenseEmphasis">
    <w:name w:val="Intense Emphasis"/>
    <w:basedOn w:val="DefaultParagraphFont"/>
    <w:uiPriority w:val="21"/>
    <w:qFormat/>
    <w:rsid w:val="00DA1CDF"/>
    <w:rPr>
      <w:i/>
      <w:iCs/>
      <w:color w:val="0F4761" w:themeColor="accent1" w:themeShade="BF"/>
    </w:rPr>
  </w:style>
  <w:style w:type="paragraph" w:styleId="IntenseQuote">
    <w:name w:val="Intense Quote"/>
    <w:basedOn w:val="Normal"/>
    <w:next w:val="Normal"/>
    <w:link w:val="IntenseQuoteChar"/>
    <w:uiPriority w:val="30"/>
    <w:qFormat/>
    <w:rsid w:val="00DA1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CDF"/>
    <w:rPr>
      <w:i/>
      <w:iCs/>
      <w:color w:val="0F4761" w:themeColor="accent1" w:themeShade="BF"/>
    </w:rPr>
  </w:style>
  <w:style w:type="character" w:styleId="IntenseReference">
    <w:name w:val="Intense Reference"/>
    <w:basedOn w:val="DefaultParagraphFont"/>
    <w:uiPriority w:val="32"/>
    <w:qFormat/>
    <w:rsid w:val="00DA1CDF"/>
    <w:rPr>
      <w:b/>
      <w:bCs/>
      <w:smallCaps/>
      <w:color w:val="0F4761" w:themeColor="accent1" w:themeShade="BF"/>
      <w:spacing w:val="5"/>
    </w:rPr>
  </w:style>
  <w:style w:type="paragraph" w:styleId="Header">
    <w:name w:val="header"/>
    <w:basedOn w:val="Normal"/>
    <w:link w:val="HeaderChar"/>
    <w:uiPriority w:val="99"/>
    <w:unhideWhenUsed/>
    <w:rsid w:val="00445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4BA"/>
  </w:style>
  <w:style w:type="paragraph" w:styleId="Footer">
    <w:name w:val="footer"/>
    <w:basedOn w:val="Normal"/>
    <w:link w:val="FooterChar"/>
    <w:uiPriority w:val="99"/>
    <w:unhideWhenUsed/>
    <w:rsid w:val="00445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4BA"/>
  </w:style>
  <w:style w:type="character" w:styleId="Hyperlink">
    <w:name w:val="Hyperlink"/>
    <w:basedOn w:val="DefaultParagraphFont"/>
    <w:uiPriority w:val="99"/>
    <w:unhideWhenUsed/>
    <w:rsid w:val="00693593"/>
    <w:rPr>
      <w:color w:val="467886" w:themeColor="hyperlink"/>
      <w:u w:val="single"/>
    </w:rPr>
  </w:style>
  <w:style w:type="character" w:styleId="UnresolvedMention">
    <w:name w:val="Unresolved Mention"/>
    <w:basedOn w:val="DefaultParagraphFont"/>
    <w:uiPriority w:val="99"/>
    <w:semiHidden/>
    <w:unhideWhenUsed/>
    <w:rsid w:val="00693593"/>
    <w:rPr>
      <w:color w:val="605E5C"/>
      <w:shd w:val="clear" w:color="auto" w:fill="E1DFDD"/>
    </w:rPr>
  </w:style>
  <w:style w:type="character" w:styleId="FollowedHyperlink">
    <w:name w:val="FollowedHyperlink"/>
    <w:basedOn w:val="DefaultParagraphFont"/>
    <w:uiPriority w:val="99"/>
    <w:semiHidden/>
    <w:unhideWhenUsed/>
    <w:rsid w:val="00693593"/>
    <w:rPr>
      <w:color w:val="96607D" w:themeColor="followedHyperlink"/>
      <w:u w:val="single"/>
    </w:rPr>
  </w:style>
  <w:style w:type="paragraph" w:styleId="NormalWeb">
    <w:name w:val="Normal (Web)"/>
    <w:basedOn w:val="Normal"/>
    <w:uiPriority w:val="99"/>
    <w:semiHidden/>
    <w:unhideWhenUsed/>
    <w:rsid w:val="00693593"/>
    <w:pPr>
      <w:spacing w:line="259" w:lineRule="auto"/>
    </w:pPr>
    <w:rPr>
      <w:rFonts w:ascii="Times New Roman" w:hAnsi="Times New Roman" w:cs="Times New Roman"/>
    </w:rPr>
  </w:style>
  <w:style w:type="paragraph" w:styleId="TOCHeading">
    <w:name w:val="TOC Heading"/>
    <w:basedOn w:val="Heading1"/>
    <w:next w:val="Normal"/>
    <w:uiPriority w:val="39"/>
    <w:unhideWhenUsed/>
    <w:qFormat/>
    <w:rsid w:val="00693593"/>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693593"/>
    <w:pPr>
      <w:spacing w:after="100"/>
    </w:pPr>
  </w:style>
  <w:style w:type="paragraph" w:styleId="TOC2">
    <w:name w:val="toc 2"/>
    <w:basedOn w:val="Normal"/>
    <w:next w:val="Normal"/>
    <w:autoRedefine/>
    <w:uiPriority w:val="39"/>
    <w:unhideWhenUsed/>
    <w:rsid w:val="00455512"/>
    <w:pPr>
      <w:spacing w:after="100"/>
      <w:ind w:left="24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uiPriority w:val="1"/>
    <w:qFormat/>
    <w:rsid w:val="00EE37EA"/>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EE37EA"/>
    <w:rPr>
      <w:rFonts w:eastAsiaTheme="minorEastAsia"/>
      <w:kern w:val="0"/>
      <w:sz w:val="22"/>
      <w:szCs w:val="22"/>
      <w14:ligatures w14:val="none"/>
    </w:rPr>
  </w:style>
  <w:style w:type="paragraph" w:styleId="TOC3">
    <w:name w:val="toc 3"/>
    <w:basedOn w:val="Normal"/>
    <w:next w:val="Normal"/>
    <w:autoRedefine/>
    <w:uiPriority w:val="39"/>
    <w:unhideWhenUsed/>
    <w:rsid w:val="00EE37E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leggingsfondsen.asnbank.nl/overig/downloads/asn-impact-investors-sustainability-criteria-guide.html?utm_source=chatgpt.com" TargetMode="External"/><Relationship Id="rId18" Type="http://schemas.openxmlformats.org/officeDocument/2006/relationships/hyperlink" Target="https://www.triodos-im.com/binaries/content/assets/shared/fund-assets/tmif/annual-report-triodos-impact-strategies-n.v.-2024.pdf?utm_source=chatgpt.com" TargetMode="External"/><Relationship Id="rId26" Type="http://schemas.openxmlformats.org/officeDocument/2006/relationships/hyperlink" Target="https://nl.allianzgi.com/-/media/allianzgi/eu/shared/mmpdocuments/factsheet/b2b-voll/2019/05/16/07/54/lu1865149808-factsheets-b2b-voll-en-eu-31102025-allianz-climate-transition-europe.pdf?rev=4f47006d289d4b1da92d9b4822f60b27&amp;hash=9ED9A008D63DAE62AE2F40025FF4B55C" TargetMode="External"/><Relationship Id="rId39" Type="http://schemas.openxmlformats.org/officeDocument/2006/relationships/hyperlink" Target="https://docs.candriam.com/documents/candriam/article_207/en/document.pdf" TargetMode="External"/><Relationship Id="rId21" Type="http://schemas.openxmlformats.org/officeDocument/2006/relationships/hyperlink" Target="file:///C:\Users\Laure\Downloads\2025%2009%20Essentiele-informatiedocument%20ASN%20Duurzaam%20Aandelenfonds%20R.pdf" TargetMode="External"/><Relationship Id="rId34" Type="http://schemas.openxmlformats.org/officeDocument/2006/relationships/hyperlink" Target="https://www.worldbenchmarkingalliance.org/publication/financial-system/companies/allianz/" TargetMode="External"/><Relationship Id="rId42" Type="http://schemas.openxmlformats.org/officeDocument/2006/relationships/hyperlink" Target="https://nl.allianzgi.com/nl-nl/pro/sustainable-investing/focus-funds/allianz-green-bond" TargetMode="External"/><Relationship Id="rId47" Type="http://schemas.openxmlformats.org/officeDocument/2006/relationships/hyperlink" Target="https://global.morningstar.com/nl/beleggingen/fondsen/F00000YFUP/quote?marktID=nl" TargetMode="External"/><Relationship Id="rId50" Type="http://schemas.openxmlformats.org/officeDocument/2006/relationships/hyperlink" Target="https://global.morningstar.com/nl/beleggingen/fondsen/F00001AMTQ/quot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c.gov/newsroom/press-releases/2023-194" TargetMode="External"/><Relationship Id="rId29" Type="http://schemas.openxmlformats.org/officeDocument/2006/relationships/hyperlink" Target="https://www.blackrock.com/nl/particuliere-beleggers/blackrock-in-nederland" TargetMode="External"/><Relationship Id="rId11" Type="http://schemas.openxmlformats.org/officeDocument/2006/relationships/hyperlink" Target="https://thegiin.org/member/asn-impact-investors" TargetMode="External"/><Relationship Id="rId24" Type="http://schemas.openxmlformats.org/officeDocument/2006/relationships/hyperlink" Target="https://www.robeco.com/files/doca/cgf_emct_f-prip-202505-profnlnl.pdf" TargetMode="External"/><Relationship Id="rId32" Type="http://schemas.openxmlformats.org/officeDocument/2006/relationships/hyperlink" Target="https://www.ebsco.com/research-starters/business-and-management/fidelity-investments" TargetMode="External"/><Relationship Id="rId37" Type="http://schemas.openxmlformats.org/officeDocument/2006/relationships/hyperlink" Target="https://www.robeco.com/en-int/about-us/corporate-governance" TargetMode="External"/><Relationship Id="rId40" Type="http://schemas.openxmlformats.org/officeDocument/2006/relationships/hyperlink" Target="https://nl.allianzgi.com/nl-nl/pro/sustainable-investing/focus-funds/allianz-climate-transition" TargetMode="External"/><Relationship Id="rId45" Type="http://schemas.openxmlformats.org/officeDocument/2006/relationships/hyperlink" Target="https://global.morningstar.com/nl/beleggingen/fondsen/F00001AMTQ/quot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amf-france.org/en/news-publications/news-releases/enforcement-committee-news-releases/amf-enforcement-committee-fines-two-amundi-group-companies-brokerage-firm-and-three-former-employees" TargetMode="External"/><Relationship Id="rId19" Type="http://schemas.openxmlformats.org/officeDocument/2006/relationships/hyperlink" Target="file:///C:\Users\Laure\Downloads\2025%20ASN%20II%20Duurzaamheidsinformatie%20ASN%20Duurzaam%20Aandelenfonds.pdf" TargetMode="External"/><Relationship Id="rId31" Type="http://schemas.openxmlformats.org/officeDocument/2006/relationships/hyperlink" Target="https://www.mckinsey.com/industries/financial-services/how-we-help-clients/allianz-drives-end-to-end-transformation-for-profitable-growth-and-customer-delight" TargetMode="External"/><Relationship Id="rId44" Type="http://schemas.openxmlformats.org/officeDocument/2006/relationships/hyperlink" Target="https://beleggingsfondsen.asnbank.nl/home-particulier/fondsen-particulier/asn-energie-innovatiefonds-1.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mpact-investor.com/fd-asn-impact-investors-sells-all-investments-in-clothing-companies/" TargetMode="External"/><Relationship Id="rId14" Type="http://schemas.openxmlformats.org/officeDocument/2006/relationships/hyperlink" Target="https://beleggingsfondsen.asnbank.nl/overig/downloads/asn-impact-investors-sustainability-criteria-guide.html?utm_source=chatgpt.com" TargetMode="External"/><Relationship Id="rId22" Type="http://schemas.openxmlformats.org/officeDocument/2006/relationships/hyperlink" Target="https://www.asnbank.nl/beleggen/beleggingsfondsen/asn-duurzaam-aandelenfonds/fondsdocumenten.html" TargetMode="External"/><Relationship Id="rId27" Type="http://schemas.openxmlformats.org/officeDocument/2006/relationships/hyperlink" Target="https://nl.allianzgi.com/-/media/allianzgi/eu/shared/mmpdocuments/vpe/vpe/2018/10/12/08/53/uf-lu1997244873-vpe-en-agifenvpsvvs-15102025.pdf?rev=8cd85903ce7547968bd6b2c88454f83e&amp;hash=E745338B6379ABA29684368F21B311E7" TargetMode="External"/><Relationship Id="rId30" Type="http://schemas.openxmlformats.org/officeDocument/2006/relationships/hyperlink" Target="https://www.fidelity.co.uk/media/PI%20UK/pdf/target-market-statement.pdf" TargetMode="External"/><Relationship Id="rId35" Type="http://schemas.openxmlformats.org/officeDocument/2006/relationships/hyperlink" Target="https://www.bnpparibas-am.com/en/forward-thinking/our-global-sustainability-strategy-updated-and-on-course/" TargetMode="External"/><Relationship Id="rId43" Type="http://schemas.openxmlformats.org/officeDocument/2006/relationships/hyperlink" Target="https://beleggingsfondsen.asnbank.nl/home-particulier/fondsen-particulier/asn-energie-innovatiefonds-1.html" TargetMode="External"/><Relationship Id="rId48" Type="http://schemas.openxmlformats.org/officeDocument/2006/relationships/hyperlink" Target="https://global.morningstar.com/nl/beleggingen/fondsen/F0000139KE/quote" TargetMode="External"/><Relationship Id="rId8" Type="http://schemas.openxmlformats.org/officeDocument/2006/relationships/hyperlink" Target="https://about.amundi.com/files/nuxeo/dl/c44a7bb2-813b-4346-96e0-e3d695241d9b" TargetMode="External"/><Relationship Id="rId51" Type="http://schemas.openxmlformats.org/officeDocument/2006/relationships/hyperlink" Target="https://www.startgreen.nl/fondsen/asn-energieinnovatiefonds/" TargetMode="External"/><Relationship Id="rId3" Type="http://schemas.openxmlformats.org/officeDocument/2006/relationships/styles" Target="styles.xml"/><Relationship Id="rId12" Type="http://schemas.openxmlformats.org/officeDocument/2006/relationships/hyperlink" Target="https://beleggingsfondsen.asnbank.nl/home-particulier/fondsen-particulier/asn-biodiversiteitsfonds/asn-impact-investors-is-the-first-asset-manager-worldwide-to-measure-positive-impact-on-biodiversity.html" TargetMode="External"/><Relationship Id="rId17" Type="http://schemas.openxmlformats.org/officeDocument/2006/relationships/hyperlink" Target="https://www.triodos-im.com/governance" TargetMode="External"/><Relationship Id="rId25" Type="http://schemas.openxmlformats.org/officeDocument/2006/relationships/hyperlink" Target="https://www.robeco.com/files/doca/CGF_EMCT_F-fact-202510-profnlnl.pdf" TargetMode="External"/><Relationship Id="rId33" Type="http://schemas.openxmlformats.org/officeDocument/2006/relationships/hyperlink" Target="https://canvasbusinessmodel.com/blogs/target-market/vanguard-target-market" TargetMode="External"/><Relationship Id="rId38" Type="http://schemas.openxmlformats.org/officeDocument/2006/relationships/hyperlink" Target="https://www.ubs.com/nl/en/assetmanagement/capabilities/sustainable-investing/credit-suisse-esg-policy.html" TargetMode="External"/><Relationship Id="rId46" Type="http://schemas.openxmlformats.org/officeDocument/2006/relationships/hyperlink" Target="https://global.morningstar.com/nl/beleggingen/fondsen/F00001E1OS/portefeuille" TargetMode="External"/><Relationship Id="rId20" Type="http://schemas.openxmlformats.org/officeDocument/2006/relationships/hyperlink" Target="file:///C:\Users\Laure\Downloads\Factsheet%20ASN%20Duurzaam%20Aandelenfonds%20R-09.pdf" TargetMode="External"/><Relationship Id="rId41" Type="http://schemas.openxmlformats.org/officeDocument/2006/relationships/hyperlink" Target="https://nl.allianzgi.com/nl-nl/nl-onze-fondsen/fondsen/list/allianz-green-bond-p-eur?nav=overvie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eanenergywire.org/news/greenwashing-fine-asset-manager-dws-warning-entire-financial-sector-opinion" TargetMode="External"/><Relationship Id="rId23" Type="http://schemas.openxmlformats.org/officeDocument/2006/relationships/hyperlink" Target="https://www.robeco.com/files/docm/pmup-emerging-markets-climate-transition-general.pdf" TargetMode="External"/><Relationship Id="rId28" Type="http://schemas.openxmlformats.org/officeDocument/2006/relationships/hyperlink" Target="https://nl.allianzgi.com/-/media/allianzgi/eu/shared/mmpdocuments/kid/priips/2022/12/29/12/19/lu1865149808-kid-priips-nl-benl-30092025.pdf?rev=795238a791c3436095e92a3fcfd3450d&amp;hash=9CA1889A29A77BFC8A1E95EDBE1D0167" TargetMode="External"/><Relationship Id="rId36" Type="http://schemas.openxmlformats.org/officeDocument/2006/relationships/hyperlink" Target="https://www.bnpparibas-am.com/en/sustainability/our-approach/" TargetMode="External"/><Relationship Id="rId49" Type="http://schemas.openxmlformats.org/officeDocument/2006/relationships/hyperlink" Target="https://www.robeco.com/en-int/products/strategies/green-bo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4F2D5-10C0-4E18-A85C-5C0C58827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17713</Words>
  <Characters>100970</Characters>
  <Application>Microsoft Office Word</Application>
  <DocSecurity>4</DocSecurity>
  <Lines>841</Lines>
  <Paragraphs>236</Paragraphs>
  <ScaleCrop>false</ScaleCrop>
  <Company/>
  <LinksUpToDate>false</LinksUpToDate>
  <CharactersWithSpaces>118447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Laurens Dijkens</dc:creator>
  <cp:keywords/>
  <dc:description/>
  <cp:lastModifiedBy>Heddema, Martijn</cp:lastModifiedBy>
  <cp:revision>18</cp:revision>
  <dcterms:created xsi:type="dcterms:W3CDTF">2025-12-01T08:59:00Z</dcterms:created>
  <dcterms:modified xsi:type="dcterms:W3CDTF">2025-12-09T14:10:00Z</dcterms:modified>
</cp:coreProperties>
</file>